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C4511" w14:textId="043B8FD0" w:rsidR="00F30CED" w:rsidRPr="000705D0" w:rsidRDefault="00F30CED" w:rsidP="00F33AC4">
      <w:pPr>
        <w:rPr>
          <w:b/>
          <w:sz w:val="24"/>
          <w:szCs w:val="24"/>
        </w:rPr>
      </w:pPr>
      <w:bookmarkStart w:id="0" w:name="_GoBack"/>
      <w:bookmarkEnd w:id="0"/>
      <w:r w:rsidRPr="000705D0">
        <w:rPr>
          <w:b/>
          <w:sz w:val="24"/>
          <w:szCs w:val="24"/>
        </w:rPr>
        <w:t>APPENDIX 5. QUALITY ASSURANCE AND QUALITY CONTROL</w:t>
      </w:r>
      <w:r w:rsidR="001B6CDC">
        <w:rPr>
          <w:b/>
          <w:sz w:val="24"/>
          <w:szCs w:val="24"/>
        </w:rPr>
        <w:t xml:space="preserve"> (QA/QC)</w:t>
      </w:r>
      <w:r w:rsidRPr="000705D0">
        <w:rPr>
          <w:b/>
          <w:sz w:val="24"/>
          <w:szCs w:val="24"/>
        </w:rPr>
        <w:t xml:space="preserve"> OF </w:t>
      </w:r>
      <w:r w:rsidR="001B6CDC">
        <w:rPr>
          <w:b/>
          <w:sz w:val="24"/>
          <w:szCs w:val="24"/>
        </w:rPr>
        <w:t xml:space="preserve">GEOCHEMICAL </w:t>
      </w:r>
      <w:r w:rsidR="00C54E80">
        <w:rPr>
          <w:b/>
          <w:sz w:val="24"/>
          <w:szCs w:val="24"/>
        </w:rPr>
        <w:t xml:space="preserve">AND MINERAL </w:t>
      </w:r>
      <w:r w:rsidR="001B6CDC">
        <w:rPr>
          <w:b/>
          <w:sz w:val="24"/>
          <w:szCs w:val="24"/>
        </w:rPr>
        <w:t>ANALYSES</w:t>
      </w:r>
    </w:p>
    <w:p w14:paraId="21C29A75" w14:textId="77777777" w:rsidR="001C096C" w:rsidRDefault="001C096C" w:rsidP="001C096C">
      <w:pPr>
        <w:jc w:val="center"/>
        <w:rPr>
          <w:b/>
          <w:sz w:val="24"/>
          <w:szCs w:val="24"/>
        </w:rPr>
      </w:pPr>
    </w:p>
    <w:p w14:paraId="41AC48F4" w14:textId="77777777" w:rsidR="00F30CED" w:rsidRPr="001C096C" w:rsidRDefault="001C096C" w:rsidP="001C096C">
      <w:pPr>
        <w:jc w:val="center"/>
        <w:rPr>
          <w:b/>
          <w:sz w:val="24"/>
          <w:szCs w:val="24"/>
        </w:rPr>
      </w:pPr>
      <w:r w:rsidRPr="001C096C">
        <w:rPr>
          <w:b/>
          <w:sz w:val="24"/>
          <w:szCs w:val="24"/>
        </w:rPr>
        <w:t>INTRODUCTION</w:t>
      </w:r>
    </w:p>
    <w:p w14:paraId="0977994D" w14:textId="77777777" w:rsidR="00BD4DB1" w:rsidRPr="00BD4DB1" w:rsidRDefault="00BD4DB1" w:rsidP="00BD4DB1">
      <w:pPr>
        <w:autoSpaceDE w:val="0"/>
        <w:autoSpaceDN w:val="0"/>
        <w:adjustRightInd w:val="0"/>
        <w:ind w:firstLine="720"/>
        <w:rPr>
          <w:sz w:val="24"/>
          <w:szCs w:val="24"/>
        </w:rPr>
      </w:pPr>
      <w:r w:rsidRPr="00BD4DB1">
        <w:rPr>
          <w:sz w:val="24"/>
          <w:szCs w:val="24"/>
        </w:rPr>
        <w:t xml:space="preserve">The samples and field data (including field observations and measurements) are the basic component of the data collection and interpretation, which ultimately leads to the project conclusions. Therefore, it is important to understand the spatial and geological context and to describe the types of samples collected, sample preparation, and sample analyses. The purpose of this appendix is to present data to support the accuracy and precision for the geochemical (Appendix 3) and mineralogical analyses obtained by NMBGMR. The data were obtained from the various laboratories and at least 10% of the data were validated or checked by an additional staff member to assure the data were entered into the database properly. If during validation, data were found to be entered incorrectly, the error was immediately corrected. This report only describes the sample collection and preparation of samples collected during the project. The QA/QC procedures for the electron microprobe laboratory at NMIMT are explained at </w:t>
      </w:r>
      <w:hyperlink r:id="rId8" w:history="1">
        <w:r w:rsidRPr="00BD4DB1">
          <w:rPr>
            <w:rStyle w:val="Hyperlink"/>
            <w:sz w:val="24"/>
            <w:szCs w:val="24"/>
          </w:rPr>
          <w:t>http://geoinfo.nmt.edu/labs/microprobe/home.html</w:t>
        </w:r>
      </w:hyperlink>
      <w:r w:rsidRPr="00BD4DB1">
        <w:rPr>
          <w:rStyle w:val="Hyperlink"/>
          <w:sz w:val="24"/>
          <w:szCs w:val="24"/>
        </w:rPr>
        <w:t xml:space="preserve"> (accessed 1/6/2019)</w:t>
      </w:r>
      <w:r w:rsidRPr="00BD4DB1">
        <w:rPr>
          <w:sz w:val="24"/>
          <w:szCs w:val="24"/>
        </w:rPr>
        <w:t>.</w:t>
      </w:r>
    </w:p>
    <w:p w14:paraId="4C40DE96" w14:textId="77777777" w:rsidR="00C43597" w:rsidRPr="007E4612" w:rsidRDefault="00C43597" w:rsidP="00C43597">
      <w:pPr>
        <w:ind w:firstLine="720"/>
        <w:rPr>
          <w:sz w:val="24"/>
          <w:szCs w:val="24"/>
        </w:rPr>
      </w:pPr>
      <w:r w:rsidRPr="00D97A4F">
        <w:rPr>
          <w:sz w:val="24"/>
          <w:szCs w:val="24"/>
        </w:rPr>
        <w:t xml:space="preserve">A </w:t>
      </w:r>
      <w:r w:rsidRPr="00D97A4F">
        <w:rPr>
          <w:i/>
          <w:sz w:val="24"/>
          <w:szCs w:val="24"/>
        </w:rPr>
        <w:t>sample</w:t>
      </w:r>
      <w:r w:rsidRPr="00D97A4F">
        <w:rPr>
          <w:sz w:val="24"/>
          <w:szCs w:val="24"/>
        </w:rPr>
        <w:t xml:space="preserve"> is a representative portion, subset</w:t>
      </w:r>
      <w:r w:rsidRPr="007E4612">
        <w:rPr>
          <w:sz w:val="24"/>
          <w:szCs w:val="24"/>
        </w:rPr>
        <w:t>, or fraction of a body of material representing a defined population (Koch and Link, 1971; Wellmer, 1989; Rollinson, 1993; Davis, 1998; Schreuder et al., 2004; Neuendorf et al., 2005; Downing, 2008). A sample is that portion of the population that is actually studied and used to characterize the population. Collecting a representative sample of rock-pile material can be difficult because of the compositional, spatial, and size heterogeneity of the material. It also is necessary to define the particle-size fraction of the sample required and analyzed, because of the immense size heterogeneity in many rock piles (Smith et al., 2000). The sampling process is summarized below:</w:t>
      </w:r>
    </w:p>
    <w:p w14:paraId="6FA8027F" w14:textId="77777777" w:rsidR="00C43597" w:rsidRPr="007E4612" w:rsidRDefault="00C43597" w:rsidP="00C43597">
      <w:pPr>
        <w:numPr>
          <w:ilvl w:val="0"/>
          <w:numId w:val="4"/>
        </w:numPr>
        <w:jc w:val="both"/>
        <w:rPr>
          <w:sz w:val="24"/>
          <w:szCs w:val="24"/>
        </w:rPr>
      </w:pPr>
      <w:r w:rsidRPr="007E4612">
        <w:rPr>
          <w:sz w:val="24"/>
          <w:szCs w:val="24"/>
        </w:rPr>
        <w:t>Define the sample population</w:t>
      </w:r>
    </w:p>
    <w:p w14:paraId="1B74B275" w14:textId="77777777" w:rsidR="00C43597" w:rsidRPr="007E4612" w:rsidRDefault="00C43597" w:rsidP="00C43597">
      <w:pPr>
        <w:numPr>
          <w:ilvl w:val="0"/>
          <w:numId w:val="4"/>
        </w:numPr>
        <w:jc w:val="both"/>
        <w:rPr>
          <w:sz w:val="24"/>
          <w:szCs w:val="24"/>
        </w:rPr>
      </w:pPr>
      <w:r w:rsidRPr="007E4612">
        <w:rPr>
          <w:sz w:val="24"/>
          <w:szCs w:val="24"/>
        </w:rPr>
        <w:t>Define the parameters to be measured</w:t>
      </w:r>
    </w:p>
    <w:p w14:paraId="66EEF0C4" w14:textId="77777777" w:rsidR="00C43597" w:rsidRPr="007E4612" w:rsidRDefault="00C43597" w:rsidP="00C43597">
      <w:pPr>
        <w:numPr>
          <w:ilvl w:val="0"/>
          <w:numId w:val="4"/>
        </w:numPr>
        <w:jc w:val="both"/>
        <w:rPr>
          <w:sz w:val="24"/>
          <w:szCs w:val="24"/>
        </w:rPr>
      </w:pPr>
      <w:r w:rsidRPr="007E4612">
        <w:rPr>
          <w:sz w:val="24"/>
          <w:szCs w:val="24"/>
        </w:rPr>
        <w:t>Define the number of samples to be collected and where</w:t>
      </w:r>
    </w:p>
    <w:p w14:paraId="77978D3B" w14:textId="77777777" w:rsidR="00C43597" w:rsidRPr="007E4612" w:rsidRDefault="00C43597" w:rsidP="00C43597">
      <w:pPr>
        <w:numPr>
          <w:ilvl w:val="0"/>
          <w:numId w:val="4"/>
        </w:numPr>
        <w:jc w:val="both"/>
        <w:rPr>
          <w:sz w:val="24"/>
          <w:szCs w:val="24"/>
        </w:rPr>
      </w:pPr>
      <w:r w:rsidRPr="007E4612">
        <w:rPr>
          <w:sz w:val="24"/>
          <w:szCs w:val="24"/>
        </w:rPr>
        <w:t>Define the sample collection method</w:t>
      </w:r>
    </w:p>
    <w:p w14:paraId="0C11FE35" w14:textId="77777777" w:rsidR="00C43597" w:rsidRPr="007E4612" w:rsidRDefault="00C43597" w:rsidP="00C43597">
      <w:pPr>
        <w:numPr>
          <w:ilvl w:val="0"/>
          <w:numId w:val="4"/>
        </w:numPr>
        <w:jc w:val="both"/>
        <w:rPr>
          <w:sz w:val="24"/>
          <w:szCs w:val="24"/>
        </w:rPr>
      </w:pPr>
      <w:r w:rsidRPr="007E4612">
        <w:rPr>
          <w:sz w:val="24"/>
          <w:szCs w:val="24"/>
        </w:rPr>
        <w:t>Define the quantity of sample collected</w:t>
      </w:r>
    </w:p>
    <w:p w14:paraId="2951EEC7" w14:textId="77777777" w:rsidR="00C43597" w:rsidRPr="007E4612" w:rsidRDefault="00C43597" w:rsidP="00C43597">
      <w:pPr>
        <w:numPr>
          <w:ilvl w:val="0"/>
          <w:numId w:val="4"/>
        </w:numPr>
        <w:jc w:val="both"/>
        <w:rPr>
          <w:sz w:val="24"/>
          <w:szCs w:val="24"/>
        </w:rPr>
      </w:pPr>
      <w:r w:rsidRPr="007E4612">
        <w:rPr>
          <w:sz w:val="24"/>
          <w:szCs w:val="24"/>
        </w:rPr>
        <w:t xml:space="preserve">Collect the sample </w:t>
      </w:r>
    </w:p>
    <w:p w14:paraId="4742129F" w14:textId="77777777" w:rsidR="00C43597" w:rsidRPr="007E4612" w:rsidRDefault="00C43597" w:rsidP="00C43597">
      <w:pPr>
        <w:numPr>
          <w:ilvl w:val="0"/>
          <w:numId w:val="4"/>
        </w:numPr>
        <w:jc w:val="both"/>
        <w:rPr>
          <w:sz w:val="24"/>
          <w:szCs w:val="24"/>
        </w:rPr>
      </w:pPr>
      <w:r w:rsidRPr="007E4612">
        <w:rPr>
          <w:sz w:val="24"/>
          <w:szCs w:val="24"/>
        </w:rPr>
        <w:t>Record field observations and sample description</w:t>
      </w:r>
    </w:p>
    <w:p w14:paraId="4CD13ECB" w14:textId="77777777" w:rsidR="00C43597" w:rsidRPr="007E4612" w:rsidRDefault="00C43597" w:rsidP="00C43597">
      <w:pPr>
        <w:numPr>
          <w:ilvl w:val="0"/>
          <w:numId w:val="4"/>
        </w:numPr>
        <w:jc w:val="both"/>
        <w:rPr>
          <w:sz w:val="24"/>
          <w:szCs w:val="24"/>
        </w:rPr>
      </w:pPr>
      <w:r w:rsidRPr="007E4612">
        <w:rPr>
          <w:sz w:val="24"/>
          <w:szCs w:val="24"/>
        </w:rPr>
        <w:t>Review the sampling process</w:t>
      </w:r>
      <w:r>
        <w:rPr>
          <w:sz w:val="24"/>
          <w:szCs w:val="24"/>
        </w:rPr>
        <w:t xml:space="preserve"> and modify if needed</w:t>
      </w:r>
      <w:r w:rsidRPr="007E4612">
        <w:rPr>
          <w:sz w:val="24"/>
          <w:szCs w:val="24"/>
        </w:rPr>
        <w:t>.</w:t>
      </w:r>
    </w:p>
    <w:p w14:paraId="1262D434" w14:textId="77777777" w:rsidR="00C43597" w:rsidRPr="007E4612" w:rsidRDefault="00C43597" w:rsidP="00C43597">
      <w:pPr>
        <w:rPr>
          <w:sz w:val="24"/>
          <w:szCs w:val="24"/>
        </w:rPr>
      </w:pPr>
      <w:r w:rsidRPr="007E4612">
        <w:rPr>
          <w:sz w:val="24"/>
          <w:szCs w:val="24"/>
        </w:rPr>
        <w:t xml:space="preserve">The determination of total error of a measurement depends upon several parameters, including the sample error and analytical error (Rollinson, 1993; Schreuder et al., 2004). The sample error is the error that results from studying the collected sample instead of the entire population and depends upon completeness, comparability, and representativeness, as defined below: </w:t>
      </w:r>
    </w:p>
    <w:p w14:paraId="74739C4A" w14:textId="77777777" w:rsidR="00C43597" w:rsidRPr="007E4612" w:rsidRDefault="00C43597" w:rsidP="00C43597">
      <w:pPr>
        <w:numPr>
          <w:ilvl w:val="0"/>
          <w:numId w:val="1"/>
        </w:numPr>
        <w:rPr>
          <w:sz w:val="24"/>
          <w:szCs w:val="24"/>
        </w:rPr>
      </w:pPr>
      <w:r w:rsidRPr="007E4612">
        <w:rPr>
          <w:bCs/>
          <w:i/>
          <w:iCs/>
          <w:sz w:val="24"/>
          <w:szCs w:val="24"/>
        </w:rPr>
        <w:t>Completeness—</w:t>
      </w:r>
      <w:r w:rsidRPr="007E4612">
        <w:rPr>
          <w:sz w:val="24"/>
          <w:szCs w:val="24"/>
        </w:rPr>
        <w:t xml:space="preserve">the comparison between the amount of valid, or usable, data originally planned to collect, versus how much was collected. </w:t>
      </w:r>
    </w:p>
    <w:p w14:paraId="123FB514" w14:textId="77777777" w:rsidR="00C43597" w:rsidRPr="007E4612" w:rsidRDefault="00C43597" w:rsidP="00C43597">
      <w:pPr>
        <w:numPr>
          <w:ilvl w:val="0"/>
          <w:numId w:val="1"/>
        </w:numPr>
        <w:rPr>
          <w:sz w:val="24"/>
          <w:szCs w:val="24"/>
        </w:rPr>
      </w:pPr>
      <w:r w:rsidRPr="007E4612">
        <w:rPr>
          <w:bCs/>
          <w:i/>
          <w:iCs/>
          <w:sz w:val="24"/>
          <w:szCs w:val="24"/>
        </w:rPr>
        <w:t>Comparability—</w:t>
      </w:r>
      <w:r w:rsidRPr="007E4612">
        <w:rPr>
          <w:sz w:val="24"/>
          <w:szCs w:val="24"/>
        </w:rPr>
        <w:t xml:space="preserve">the extent to which data can be compared between sample locations or periods of time within a project, or between projects. </w:t>
      </w:r>
    </w:p>
    <w:p w14:paraId="31126CD9" w14:textId="77777777" w:rsidR="00C43597" w:rsidRPr="007E4612" w:rsidRDefault="00C43597" w:rsidP="00C43597">
      <w:pPr>
        <w:numPr>
          <w:ilvl w:val="0"/>
          <w:numId w:val="1"/>
        </w:numPr>
        <w:rPr>
          <w:sz w:val="24"/>
          <w:szCs w:val="24"/>
        </w:rPr>
      </w:pPr>
      <w:r w:rsidRPr="007E4612">
        <w:rPr>
          <w:bCs/>
          <w:i/>
          <w:iCs/>
          <w:sz w:val="24"/>
          <w:szCs w:val="24"/>
        </w:rPr>
        <w:t>Representativeness—</w:t>
      </w:r>
      <w:r w:rsidRPr="007E4612">
        <w:rPr>
          <w:sz w:val="24"/>
          <w:szCs w:val="24"/>
        </w:rPr>
        <w:t>the extent to which samples actually depict the true condition or population being evaluated</w:t>
      </w:r>
    </w:p>
    <w:p w14:paraId="2AE69D98" w14:textId="77777777" w:rsidR="00C43597" w:rsidRPr="007E4612" w:rsidRDefault="00C43597" w:rsidP="00C43597">
      <w:pPr>
        <w:rPr>
          <w:sz w:val="24"/>
          <w:szCs w:val="24"/>
        </w:rPr>
      </w:pPr>
      <w:r w:rsidRPr="007E4612">
        <w:rPr>
          <w:bCs/>
          <w:iCs/>
          <w:sz w:val="24"/>
          <w:szCs w:val="24"/>
        </w:rPr>
        <w:lastRenderedPageBreak/>
        <w:t xml:space="preserve">Sample error is the error caused by observing a sample instead of the whole population and typically is dependent upon the sample-to-sample variation and is controlled by collecting a sample of suitable size relative to the heterogeneity of the sampled material, as well as a sufficient number of samples to characterize the population (Wellmer, 1989). </w:t>
      </w:r>
    </w:p>
    <w:p w14:paraId="6C38A51C" w14:textId="77777777" w:rsidR="00C43597" w:rsidRPr="007E4612" w:rsidRDefault="00C43597" w:rsidP="00C43597">
      <w:pPr>
        <w:ind w:firstLine="720"/>
        <w:rPr>
          <w:sz w:val="24"/>
          <w:szCs w:val="24"/>
        </w:rPr>
      </w:pPr>
      <w:r w:rsidRPr="007E4612">
        <w:rPr>
          <w:bCs/>
          <w:iCs/>
          <w:sz w:val="24"/>
          <w:szCs w:val="24"/>
        </w:rPr>
        <w:t xml:space="preserve">Basically, </w:t>
      </w:r>
      <w:r w:rsidRPr="007E4612">
        <w:rPr>
          <w:bCs/>
          <w:sz w:val="24"/>
          <w:szCs w:val="24"/>
        </w:rPr>
        <w:t>all analytical measurements are incorrect at some level and are measured against an agreed upon standard of analysis. It is just a question of how large the errors are compared to an agreed upon standard of accuracy and if those errors are acceptable; these are typically define</w:t>
      </w:r>
      <w:r w:rsidR="001B6CDC">
        <w:rPr>
          <w:bCs/>
          <w:sz w:val="24"/>
          <w:szCs w:val="24"/>
        </w:rPr>
        <w:t>d</w:t>
      </w:r>
      <w:r w:rsidRPr="007E4612">
        <w:rPr>
          <w:bCs/>
          <w:sz w:val="24"/>
          <w:szCs w:val="24"/>
        </w:rPr>
        <w:t xml:space="preserve"> in the original sampling plan</w:t>
      </w:r>
      <w:r w:rsidRPr="007E4612">
        <w:rPr>
          <w:bCs/>
          <w:iCs/>
          <w:sz w:val="24"/>
          <w:szCs w:val="24"/>
        </w:rPr>
        <w:t xml:space="preserve">. </w:t>
      </w:r>
      <w:r w:rsidRPr="007E4612">
        <w:rPr>
          <w:sz w:val="24"/>
          <w:szCs w:val="24"/>
        </w:rPr>
        <w:t>Analytical error is the error that results from laboratory analysis, is typically reported by the laboratory, and is defined by precision and accuracy, as defined below:</w:t>
      </w:r>
    </w:p>
    <w:p w14:paraId="54231BA8" w14:textId="77777777" w:rsidR="00C43597" w:rsidRPr="007E4612" w:rsidRDefault="00C43597" w:rsidP="00C43597">
      <w:pPr>
        <w:numPr>
          <w:ilvl w:val="0"/>
          <w:numId w:val="2"/>
        </w:numPr>
        <w:rPr>
          <w:sz w:val="24"/>
          <w:szCs w:val="24"/>
        </w:rPr>
      </w:pPr>
      <w:r w:rsidRPr="007E4612">
        <w:rPr>
          <w:i/>
          <w:sz w:val="24"/>
          <w:szCs w:val="24"/>
        </w:rPr>
        <w:t>Precision</w:t>
      </w:r>
      <w:r>
        <w:rPr>
          <w:bCs/>
          <w:i/>
          <w:iCs/>
          <w:sz w:val="24"/>
          <w:szCs w:val="24"/>
        </w:rPr>
        <w:t xml:space="preserve"> </w:t>
      </w:r>
      <w:r w:rsidRPr="00262417">
        <w:rPr>
          <w:bCs/>
          <w:iCs/>
          <w:sz w:val="24"/>
          <w:szCs w:val="24"/>
        </w:rPr>
        <w:t xml:space="preserve">is </w:t>
      </w:r>
      <w:r w:rsidRPr="00262417">
        <w:rPr>
          <w:sz w:val="24"/>
          <w:szCs w:val="24"/>
        </w:rPr>
        <w:t>t</w:t>
      </w:r>
      <w:r w:rsidRPr="007E4612">
        <w:rPr>
          <w:sz w:val="24"/>
          <w:szCs w:val="24"/>
        </w:rPr>
        <w:t xml:space="preserve">he degree of agreement among repeated measurements of the same characteristic and </w:t>
      </w:r>
      <w:r>
        <w:rPr>
          <w:sz w:val="24"/>
          <w:szCs w:val="24"/>
        </w:rPr>
        <w:t xml:space="preserve">is </w:t>
      </w:r>
      <w:r w:rsidRPr="007E4612">
        <w:rPr>
          <w:sz w:val="24"/>
          <w:szCs w:val="24"/>
        </w:rPr>
        <w:t xml:space="preserve">monitored by multiple analyses of many sample duplicates and internal standards. It can be determined by calculating the standard deviation, or relative percent difference, among samples taken from the same place at the same time (i.e. duplicates and triplicates, Fig. 1). </w:t>
      </w:r>
    </w:p>
    <w:p w14:paraId="61E8D8DE" w14:textId="77777777" w:rsidR="00C43597" w:rsidRPr="007E4612" w:rsidRDefault="00C43597" w:rsidP="00C43597">
      <w:pPr>
        <w:numPr>
          <w:ilvl w:val="0"/>
          <w:numId w:val="3"/>
        </w:numPr>
        <w:tabs>
          <w:tab w:val="left" w:pos="720"/>
          <w:tab w:val="left" w:pos="1080"/>
          <w:tab w:val="left" w:pos="4140"/>
        </w:tabs>
        <w:rPr>
          <w:sz w:val="24"/>
          <w:szCs w:val="24"/>
        </w:rPr>
      </w:pPr>
      <w:r w:rsidRPr="007E4612">
        <w:rPr>
          <w:i/>
          <w:sz w:val="24"/>
          <w:szCs w:val="24"/>
        </w:rPr>
        <w:t>Accuracy</w:t>
      </w:r>
      <w:r>
        <w:rPr>
          <w:bCs/>
          <w:i/>
          <w:iCs/>
          <w:sz w:val="24"/>
          <w:szCs w:val="24"/>
        </w:rPr>
        <w:t xml:space="preserve"> </w:t>
      </w:r>
      <w:r w:rsidRPr="007E4612">
        <w:rPr>
          <w:sz w:val="24"/>
          <w:szCs w:val="24"/>
        </w:rPr>
        <w:t xml:space="preserve">measures how close the results are to a </w:t>
      </w:r>
      <w:r w:rsidRPr="00C54E80">
        <w:rPr>
          <w:sz w:val="24"/>
          <w:szCs w:val="24"/>
        </w:rPr>
        <w:t>true</w:t>
      </w:r>
      <w:r w:rsidRPr="007E4612">
        <w:rPr>
          <w:sz w:val="24"/>
          <w:szCs w:val="24"/>
        </w:rPr>
        <w:t xml:space="preserve"> or accepted value and can be determined by analyzing certified reference standards as unknown samples and comparing with known certified values (Fig. 1). </w:t>
      </w:r>
    </w:p>
    <w:p w14:paraId="3CD49883" w14:textId="77777777" w:rsidR="00C43597" w:rsidRPr="007E4612" w:rsidRDefault="00C43597" w:rsidP="00C43597">
      <w:pPr>
        <w:tabs>
          <w:tab w:val="left" w:pos="720"/>
          <w:tab w:val="left" w:pos="1440"/>
          <w:tab w:val="left" w:pos="2160"/>
        </w:tabs>
        <w:ind w:left="720"/>
        <w:jc w:val="both"/>
        <w:rPr>
          <w:sz w:val="24"/>
          <w:szCs w:val="24"/>
        </w:rPr>
      </w:pPr>
    </w:p>
    <w:p w14:paraId="42EBA797" w14:textId="77777777" w:rsidR="00C43597" w:rsidRPr="007E4612" w:rsidRDefault="00C43597" w:rsidP="00C43597">
      <w:pPr>
        <w:framePr w:w="5955" w:h="4501" w:hRule="exact" w:hSpace="187" w:wrap="notBeside" w:vAnchor="text" w:hAnchor="page" w:x="3234" w:y="315"/>
        <w:jc w:val="center"/>
        <w:rPr>
          <w:sz w:val="24"/>
          <w:szCs w:val="24"/>
        </w:rPr>
      </w:pPr>
    </w:p>
    <w:p w14:paraId="65892910" w14:textId="77777777" w:rsidR="00C43597" w:rsidRPr="007E4612" w:rsidRDefault="00C43597" w:rsidP="00C43597">
      <w:pPr>
        <w:framePr w:w="5955" w:h="4501" w:hRule="exact" w:hSpace="187" w:wrap="notBeside" w:vAnchor="text" w:hAnchor="page" w:x="3234" w:y="315"/>
        <w:jc w:val="center"/>
        <w:rPr>
          <w:sz w:val="24"/>
          <w:szCs w:val="24"/>
        </w:rPr>
      </w:pPr>
      <w:r w:rsidRPr="007E4612">
        <w:rPr>
          <w:noProof/>
          <w:sz w:val="24"/>
          <w:szCs w:val="24"/>
        </w:rPr>
        <w:drawing>
          <wp:inline distT="0" distB="0" distL="0" distR="0" wp14:anchorId="70C63FC3" wp14:editId="00890066">
            <wp:extent cx="3596640" cy="2567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640" cy="2567940"/>
                    </a:xfrm>
                    <a:prstGeom prst="rect">
                      <a:avLst/>
                    </a:prstGeom>
                    <a:noFill/>
                    <a:ln>
                      <a:noFill/>
                    </a:ln>
                  </pic:spPr>
                </pic:pic>
              </a:graphicData>
            </a:graphic>
          </wp:inline>
        </w:drawing>
      </w:r>
    </w:p>
    <w:p w14:paraId="59F94984" w14:textId="77777777" w:rsidR="00C43597" w:rsidRPr="007E4612" w:rsidRDefault="00C43597" w:rsidP="00C43597">
      <w:pPr>
        <w:framePr w:w="5955" w:h="4501" w:hRule="exact" w:hSpace="187" w:wrap="notBeside" w:vAnchor="text" w:hAnchor="page" w:x="3234" w:y="315"/>
        <w:jc w:val="center"/>
        <w:rPr>
          <w:sz w:val="24"/>
          <w:szCs w:val="24"/>
        </w:rPr>
      </w:pPr>
    </w:p>
    <w:p w14:paraId="4B862CB6" w14:textId="77777777" w:rsidR="00C43597" w:rsidRPr="007E4612" w:rsidRDefault="00C43597" w:rsidP="00C43597">
      <w:pPr>
        <w:jc w:val="both"/>
        <w:rPr>
          <w:sz w:val="24"/>
          <w:szCs w:val="24"/>
        </w:rPr>
      </w:pPr>
    </w:p>
    <w:p w14:paraId="756E2133" w14:textId="77777777" w:rsidR="00C43597" w:rsidRPr="007E4612" w:rsidRDefault="00C43597" w:rsidP="00C43597">
      <w:pPr>
        <w:jc w:val="both"/>
        <w:rPr>
          <w:sz w:val="24"/>
          <w:szCs w:val="24"/>
        </w:rPr>
      </w:pPr>
    </w:p>
    <w:p w14:paraId="1CFC8EA0" w14:textId="77777777" w:rsidR="00C43597" w:rsidRDefault="00C43597" w:rsidP="00C43597">
      <w:pPr>
        <w:rPr>
          <w:sz w:val="24"/>
          <w:szCs w:val="24"/>
        </w:rPr>
      </w:pPr>
      <w:bookmarkStart w:id="1" w:name="_Toc225781443"/>
      <w:r w:rsidRPr="00D51325">
        <w:rPr>
          <w:rStyle w:val="figureChar"/>
        </w:rPr>
        <w:t xml:space="preserve">FIGURE </w:t>
      </w:r>
      <w:r>
        <w:rPr>
          <w:rStyle w:val="figureChar"/>
        </w:rPr>
        <w:t>5-</w:t>
      </w:r>
      <w:r w:rsidRPr="00D51325">
        <w:rPr>
          <w:rStyle w:val="figureChar"/>
        </w:rPr>
        <w:t>1. Diagram illustrating the difference between precision, bias, and accuracy</w:t>
      </w:r>
      <w:bookmarkEnd w:id="1"/>
      <w:r w:rsidRPr="007E4612">
        <w:rPr>
          <w:sz w:val="24"/>
          <w:szCs w:val="24"/>
        </w:rPr>
        <w:t>.</w:t>
      </w:r>
    </w:p>
    <w:p w14:paraId="1FF85596" w14:textId="77777777" w:rsidR="00C43597" w:rsidRDefault="00C43597" w:rsidP="00C43597">
      <w:pPr>
        <w:rPr>
          <w:sz w:val="24"/>
          <w:szCs w:val="24"/>
        </w:rPr>
      </w:pPr>
    </w:p>
    <w:p w14:paraId="14F81D95" w14:textId="77777777" w:rsidR="00C43597" w:rsidRPr="00C43597" w:rsidRDefault="00C43597" w:rsidP="00C43597">
      <w:pPr>
        <w:jc w:val="center"/>
        <w:rPr>
          <w:b/>
          <w:sz w:val="24"/>
          <w:szCs w:val="24"/>
        </w:rPr>
      </w:pPr>
      <w:bookmarkStart w:id="2" w:name="_Toc225781851"/>
      <w:r w:rsidRPr="00C43597">
        <w:rPr>
          <w:b/>
          <w:bCs/>
          <w:sz w:val="24"/>
          <w:szCs w:val="24"/>
        </w:rPr>
        <w:t>FIELD PROCEDURES</w:t>
      </w:r>
      <w:bookmarkEnd w:id="2"/>
    </w:p>
    <w:p w14:paraId="0D93988D" w14:textId="254E0D98" w:rsidR="00C43597" w:rsidRPr="00C43597" w:rsidRDefault="00C43597" w:rsidP="00C43597">
      <w:pPr>
        <w:pStyle w:val="h1"/>
        <w:spacing w:after="0"/>
        <w:rPr>
          <w:rFonts w:ascii="Times New Roman" w:hAnsi="Times New Roman"/>
          <w:b w:val="0"/>
          <w:sz w:val="24"/>
          <w:szCs w:val="24"/>
        </w:rPr>
      </w:pPr>
      <w:r>
        <w:rPr>
          <w:rFonts w:ascii="Times New Roman" w:hAnsi="Times New Roman"/>
          <w:b w:val="0"/>
          <w:sz w:val="24"/>
          <w:szCs w:val="24"/>
        </w:rPr>
        <w:tab/>
      </w:r>
      <w:r w:rsidRPr="00C43597">
        <w:rPr>
          <w:rFonts w:ascii="Times New Roman" w:hAnsi="Times New Roman"/>
          <w:b w:val="0"/>
          <w:sz w:val="24"/>
          <w:szCs w:val="24"/>
        </w:rPr>
        <w:t xml:space="preserve">A standardized protocol was followed for sample collection. Different sampling strategies were employed based upon the purpose of each sampling task. Typically, at each site a grab, or bulk rock sample or other material was collected for petrographic study and geochemical analyses. A hand specimen was collected from some sites for thin section analysis. Each sample was stored in a separate bag or bucket, assigned a unique number (Table 2, 3, Field ID), logged on a field description form (Appendix 2), and entered into the </w:t>
      </w:r>
      <w:r w:rsidRPr="00C43597">
        <w:rPr>
          <w:rFonts w:ascii="Times New Roman" w:hAnsi="Times New Roman"/>
          <w:b w:val="0"/>
          <w:sz w:val="24"/>
          <w:szCs w:val="24"/>
        </w:rPr>
        <w:lastRenderedPageBreak/>
        <w:t>project database. Selected sample sites were marked in the field and a digital photograph was taken at most localities. Photographs provide visual record of the sample site (Table 3). The photograph form identified site specifics, provided basic location and other data about the photograph (SOP 4). Location information obtained by global positioning system (</w:t>
      </w:r>
      <w:smartTag w:uri="urn:schemas-microsoft-com:office:smarttags" w:element="stockticker">
        <w:r w:rsidRPr="00C43597">
          <w:rPr>
            <w:rFonts w:ascii="Times New Roman" w:hAnsi="Times New Roman"/>
            <w:b w:val="0"/>
            <w:sz w:val="24"/>
            <w:szCs w:val="24"/>
          </w:rPr>
          <w:t>GPS</w:t>
        </w:r>
      </w:smartTag>
      <w:r w:rsidRPr="00C43597">
        <w:rPr>
          <w:rFonts w:ascii="Times New Roman" w:hAnsi="Times New Roman"/>
          <w:b w:val="0"/>
          <w:sz w:val="24"/>
          <w:szCs w:val="24"/>
        </w:rPr>
        <w:t>, SOP 3), type of sample, and field petrographic descriptions were collected. Geologic observations were recorded on the field description form and each site was located on a map, if possible (SOP 5). Hand specimen description provided a record of what was collected, which aided in petrographic descriptions and provided information on the sample for the laboratory analysis (for example, high pyrite samples may be treated differently than low pyrite samples). The hand specimen description was the preliminary data used to determine what samples required additional analyses. Several different types of samples were collected:</w:t>
      </w:r>
    </w:p>
    <w:p w14:paraId="72500E45" w14:textId="77777777" w:rsidR="00C43597" w:rsidRDefault="00C43597" w:rsidP="00C43597">
      <w:pPr>
        <w:numPr>
          <w:ilvl w:val="0"/>
          <w:numId w:val="5"/>
        </w:numPr>
        <w:jc w:val="both"/>
        <w:rPr>
          <w:sz w:val="24"/>
          <w:szCs w:val="24"/>
        </w:rPr>
      </w:pPr>
      <w:r w:rsidRPr="00923862">
        <w:rPr>
          <w:sz w:val="24"/>
          <w:szCs w:val="24"/>
        </w:rPr>
        <w:t xml:space="preserve">Outcrop samples of unweathered (or least weathered) igneous rocks </w:t>
      </w:r>
    </w:p>
    <w:p w14:paraId="04405DFD" w14:textId="77777777" w:rsidR="00C43597" w:rsidRDefault="00C43597" w:rsidP="00C43597">
      <w:pPr>
        <w:numPr>
          <w:ilvl w:val="0"/>
          <w:numId w:val="5"/>
        </w:numPr>
        <w:jc w:val="both"/>
        <w:rPr>
          <w:sz w:val="24"/>
          <w:szCs w:val="24"/>
        </w:rPr>
      </w:pPr>
      <w:r w:rsidRPr="00923862">
        <w:rPr>
          <w:sz w:val="24"/>
          <w:szCs w:val="24"/>
        </w:rPr>
        <w:t>Outcrop samples of weathered igneous rocks</w:t>
      </w:r>
    </w:p>
    <w:p w14:paraId="34625C32" w14:textId="77777777" w:rsidR="00C43597" w:rsidRDefault="00C43597" w:rsidP="00C43597">
      <w:pPr>
        <w:numPr>
          <w:ilvl w:val="0"/>
          <w:numId w:val="5"/>
        </w:numPr>
        <w:jc w:val="both"/>
        <w:rPr>
          <w:sz w:val="24"/>
          <w:szCs w:val="24"/>
        </w:rPr>
      </w:pPr>
      <w:r w:rsidRPr="00923862">
        <w:rPr>
          <w:sz w:val="24"/>
          <w:szCs w:val="24"/>
        </w:rPr>
        <w:t xml:space="preserve">Samples of the vein material within altered host rocks </w:t>
      </w:r>
    </w:p>
    <w:p w14:paraId="3C77C73A" w14:textId="77777777" w:rsidR="00C43597" w:rsidRPr="00923862" w:rsidRDefault="00C43597" w:rsidP="00C43597">
      <w:pPr>
        <w:numPr>
          <w:ilvl w:val="0"/>
          <w:numId w:val="5"/>
        </w:numPr>
        <w:jc w:val="both"/>
        <w:rPr>
          <w:sz w:val="24"/>
          <w:szCs w:val="24"/>
        </w:rPr>
      </w:pPr>
      <w:r>
        <w:rPr>
          <w:sz w:val="24"/>
          <w:szCs w:val="24"/>
        </w:rPr>
        <w:t>Dump samples of mines and prospects.</w:t>
      </w:r>
    </w:p>
    <w:p w14:paraId="5A22C679" w14:textId="62C2B850" w:rsidR="001C096C" w:rsidRDefault="00C159C6" w:rsidP="001C096C">
      <w:pPr>
        <w:ind w:firstLine="720"/>
        <w:rPr>
          <w:sz w:val="24"/>
          <w:szCs w:val="24"/>
        </w:rPr>
      </w:pPr>
      <w:r w:rsidRPr="000705D0">
        <w:rPr>
          <w:sz w:val="24"/>
          <w:szCs w:val="24"/>
        </w:rPr>
        <w:t>We used two types of standards</w:t>
      </w:r>
      <w:r w:rsidR="001B6CDC">
        <w:rPr>
          <w:sz w:val="24"/>
          <w:szCs w:val="24"/>
        </w:rPr>
        <w:t>:</w:t>
      </w:r>
      <w:r w:rsidRPr="000705D0">
        <w:rPr>
          <w:sz w:val="24"/>
          <w:szCs w:val="24"/>
        </w:rPr>
        <w:t xml:space="preserve"> certified standards and </w:t>
      </w:r>
      <w:r w:rsidR="00AA3A35" w:rsidRPr="000705D0">
        <w:rPr>
          <w:sz w:val="24"/>
          <w:szCs w:val="24"/>
        </w:rPr>
        <w:t>internal standards</w:t>
      </w:r>
      <w:r w:rsidRPr="000705D0">
        <w:rPr>
          <w:sz w:val="24"/>
          <w:szCs w:val="24"/>
        </w:rPr>
        <w:t xml:space="preserve">. </w:t>
      </w:r>
      <w:r w:rsidR="00F33AC4" w:rsidRPr="000705D0">
        <w:rPr>
          <w:sz w:val="24"/>
          <w:szCs w:val="24"/>
        </w:rPr>
        <w:t xml:space="preserve">The laboratories used </w:t>
      </w:r>
      <w:r w:rsidR="00F141D9">
        <w:rPr>
          <w:sz w:val="24"/>
          <w:szCs w:val="24"/>
        </w:rPr>
        <w:t>c</w:t>
      </w:r>
      <w:r w:rsidRPr="000705D0">
        <w:rPr>
          <w:sz w:val="24"/>
          <w:szCs w:val="24"/>
        </w:rPr>
        <w:t>ertified standards</w:t>
      </w:r>
      <w:r w:rsidR="00F33AC4" w:rsidRPr="000705D0">
        <w:rPr>
          <w:sz w:val="24"/>
          <w:szCs w:val="24"/>
        </w:rPr>
        <w:t>, which</w:t>
      </w:r>
      <w:r w:rsidRPr="000705D0">
        <w:rPr>
          <w:sz w:val="24"/>
          <w:szCs w:val="24"/>
        </w:rPr>
        <w:t xml:space="preserve"> are commercial standards with certified values as determined by round robin analyses at numerous certified laboratories. The certified </w:t>
      </w:r>
      <w:r w:rsidRPr="001C096C">
        <w:rPr>
          <w:sz w:val="24"/>
          <w:szCs w:val="24"/>
        </w:rPr>
        <w:t xml:space="preserve">standards are expensive, so we </w:t>
      </w:r>
      <w:r w:rsidR="001B6CDC">
        <w:rPr>
          <w:sz w:val="24"/>
          <w:szCs w:val="24"/>
        </w:rPr>
        <w:t>submitted</w:t>
      </w:r>
      <w:r w:rsidR="001B6CDC" w:rsidRPr="001C096C">
        <w:rPr>
          <w:sz w:val="24"/>
          <w:szCs w:val="24"/>
        </w:rPr>
        <w:t xml:space="preserve"> </w:t>
      </w:r>
      <w:r w:rsidR="00F33AC4" w:rsidRPr="001C096C">
        <w:rPr>
          <w:sz w:val="24"/>
          <w:szCs w:val="24"/>
        </w:rPr>
        <w:t>internal</w:t>
      </w:r>
      <w:r w:rsidRPr="001C096C">
        <w:rPr>
          <w:sz w:val="24"/>
          <w:szCs w:val="24"/>
        </w:rPr>
        <w:t xml:space="preserve"> </w:t>
      </w:r>
      <w:r w:rsidR="00AA3A35" w:rsidRPr="001C096C">
        <w:rPr>
          <w:sz w:val="24"/>
          <w:szCs w:val="24"/>
        </w:rPr>
        <w:t>standards</w:t>
      </w:r>
      <w:r w:rsidRPr="001C096C">
        <w:rPr>
          <w:sz w:val="24"/>
          <w:szCs w:val="24"/>
        </w:rPr>
        <w:t xml:space="preserve">. The </w:t>
      </w:r>
      <w:r w:rsidR="00F33AC4" w:rsidRPr="001C096C">
        <w:rPr>
          <w:sz w:val="24"/>
          <w:szCs w:val="24"/>
        </w:rPr>
        <w:t xml:space="preserve">internal </w:t>
      </w:r>
      <w:r w:rsidR="00AA3A35" w:rsidRPr="001C096C">
        <w:rPr>
          <w:sz w:val="24"/>
          <w:szCs w:val="24"/>
        </w:rPr>
        <w:t xml:space="preserve">standards </w:t>
      </w:r>
      <w:r w:rsidRPr="001C096C">
        <w:rPr>
          <w:sz w:val="24"/>
          <w:szCs w:val="24"/>
        </w:rPr>
        <w:t>are</w:t>
      </w:r>
      <w:r w:rsidR="001B6CDC">
        <w:rPr>
          <w:sz w:val="24"/>
          <w:szCs w:val="24"/>
        </w:rPr>
        <w:t xml:space="preserve"> samples</w:t>
      </w:r>
      <w:r w:rsidRPr="001C096C">
        <w:rPr>
          <w:sz w:val="24"/>
          <w:szCs w:val="24"/>
        </w:rPr>
        <w:t xml:space="preserve"> we collected and analyzed by different methods and over several </w:t>
      </w:r>
      <w:r w:rsidR="00F30CED" w:rsidRPr="001C096C">
        <w:rPr>
          <w:sz w:val="24"/>
          <w:szCs w:val="24"/>
        </w:rPr>
        <w:t>years’</w:t>
      </w:r>
      <w:r w:rsidRPr="001C096C">
        <w:rPr>
          <w:sz w:val="24"/>
          <w:szCs w:val="24"/>
        </w:rPr>
        <w:t xml:space="preserve"> time.</w:t>
      </w:r>
      <w:r w:rsidR="008C1E72" w:rsidRPr="001C096C">
        <w:rPr>
          <w:sz w:val="24"/>
          <w:szCs w:val="24"/>
        </w:rPr>
        <w:t xml:space="preserve"> N</w:t>
      </w:r>
      <w:r w:rsidR="000705D0" w:rsidRPr="001C096C">
        <w:rPr>
          <w:sz w:val="24"/>
          <w:szCs w:val="24"/>
        </w:rPr>
        <w:t xml:space="preserve">umerous duplicates and triplicates were submitted blind to the laboratory and analyzed with each sample batch to compare and assess analytical precision, accuracy, </w:t>
      </w:r>
      <w:r w:rsidR="00825940">
        <w:rPr>
          <w:sz w:val="24"/>
          <w:szCs w:val="24"/>
        </w:rPr>
        <w:t xml:space="preserve">and </w:t>
      </w:r>
      <w:r w:rsidR="000705D0" w:rsidRPr="001C096C">
        <w:rPr>
          <w:sz w:val="24"/>
          <w:szCs w:val="24"/>
        </w:rPr>
        <w:t xml:space="preserve">representativeness. </w:t>
      </w:r>
      <w:r w:rsidR="001C096C" w:rsidRPr="001C096C">
        <w:rPr>
          <w:sz w:val="24"/>
          <w:szCs w:val="24"/>
        </w:rPr>
        <w:t>Detection limits vary between laborator</w:t>
      </w:r>
      <w:r w:rsidR="00825940">
        <w:rPr>
          <w:sz w:val="24"/>
          <w:szCs w:val="24"/>
        </w:rPr>
        <w:t>ies</w:t>
      </w:r>
      <w:r w:rsidR="001C096C" w:rsidRPr="001C096C">
        <w:rPr>
          <w:sz w:val="24"/>
          <w:szCs w:val="24"/>
        </w:rPr>
        <w:t xml:space="preserve"> and </w:t>
      </w:r>
      <w:r w:rsidR="001C096C">
        <w:rPr>
          <w:sz w:val="24"/>
          <w:szCs w:val="24"/>
        </w:rPr>
        <w:t xml:space="preserve">even </w:t>
      </w:r>
      <w:r w:rsidR="001C096C" w:rsidRPr="001C096C">
        <w:rPr>
          <w:sz w:val="24"/>
          <w:szCs w:val="24"/>
        </w:rPr>
        <w:t>sample</w:t>
      </w:r>
      <w:r w:rsidR="00825940">
        <w:rPr>
          <w:sz w:val="24"/>
          <w:szCs w:val="24"/>
        </w:rPr>
        <w:t>s</w:t>
      </w:r>
      <w:r w:rsidR="001C096C" w:rsidRPr="001C096C">
        <w:rPr>
          <w:sz w:val="24"/>
          <w:szCs w:val="24"/>
        </w:rPr>
        <w:t xml:space="preserve">. Uncertainty of analyses is generally &lt;5% </w:t>
      </w:r>
      <w:r w:rsidR="001C096C">
        <w:rPr>
          <w:sz w:val="24"/>
          <w:szCs w:val="24"/>
        </w:rPr>
        <w:t>of</w:t>
      </w:r>
      <w:r w:rsidR="001C096C" w:rsidRPr="001C096C">
        <w:rPr>
          <w:sz w:val="24"/>
          <w:szCs w:val="24"/>
        </w:rPr>
        <w:t xml:space="preserve"> duplicate samples and standards </w:t>
      </w:r>
      <w:r w:rsidR="001C096C">
        <w:rPr>
          <w:sz w:val="24"/>
          <w:szCs w:val="24"/>
        </w:rPr>
        <w:t xml:space="preserve">that </w:t>
      </w:r>
      <w:r w:rsidR="001C096C" w:rsidRPr="001C096C">
        <w:rPr>
          <w:sz w:val="24"/>
          <w:szCs w:val="24"/>
        </w:rPr>
        <w:t>were analyzed</w:t>
      </w:r>
      <w:r w:rsidR="001C096C">
        <w:rPr>
          <w:sz w:val="24"/>
          <w:szCs w:val="24"/>
        </w:rPr>
        <w:t>.</w:t>
      </w:r>
      <w:r w:rsidR="001C096C" w:rsidRPr="001C096C">
        <w:rPr>
          <w:sz w:val="24"/>
          <w:szCs w:val="24"/>
        </w:rPr>
        <w:t xml:space="preserve"> </w:t>
      </w:r>
    </w:p>
    <w:p w14:paraId="0324F7F6" w14:textId="3B7C5A02" w:rsidR="00AA3A35" w:rsidRPr="001C096C" w:rsidRDefault="001C096C" w:rsidP="001C096C">
      <w:pPr>
        <w:ind w:firstLine="720"/>
        <w:rPr>
          <w:sz w:val="24"/>
          <w:szCs w:val="24"/>
        </w:rPr>
      </w:pPr>
      <w:r w:rsidRPr="001C096C">
        <w:rPr>
          <w:sz w:val="24"/>
          <w:szCs w:val="24"/>
        </w:rPr>
        <w:t>Additional d</w:t>
      </w:r>
      <w:r w:rsidR="00AA3A35" w:rsidRPr="001C096C">
        <w:rPr>
          <w:sz w:val="24"/>
          <w:szCs w:val="24"/>
        </w:rPr>
        <w:t xml:space="preserve">ata used in this report were compiled from previous data sets and published reports as indicated in Table </w:t>
      </w:r>
      <w:r w:rsidR="000705D0" w:rsidRPr="001C096C">
        <w:rPr>
          <w:sz w:val="24"/>
          <w:szCs w:val="24"/>
        </w:rPr>
        <w:t>5-</w:t>
      </w:r>
      <w:r w:rsidR="00AA3A35" w:rsidRPr="001C096C">
        <w:rPr>
          <w:sz w:val="24"/>
          <w:szCs w:val="24"/>
        </w:rPr>
        <w:t xml:space="preserve">1. </w:t>
      </w:r>
      <w:r w:rsidRPr="001C096C">
        <w:rPr>
          <w:sz w:val="24"/>
          <w:szCs w:val="24"/>
        </w:rPr>
        <w:t>Additional information can be found at</w:t>
      </w:r>
      <w:r w:rsidR="00825940">
        <w:rPr>
          <w:sz w:val="24"/>
          <w:szCs w:val="24"/>
        </w:rPr>
        <w:t xml:space="preserve"> the websites of</w:t>
      </w:r>
      <w:r w:rsidRPr="001C096C">
        <w:rPr>
          <w:sz w:val="24"/>
          <w:szCs w:val="24"/>
        </w:rPr>
        <w:t xml:space="preserve"> Activation Laboratories (methods for which can be found at </w:t>
      </w:r>
      <w:hyperlink r:id="rId10" w:history="1">
        <w:r w:rsidRPr="001C096C">
          <w:rPr>
            <w:rStyle w:val="Hyperlink"/>
            <w:sz w:val="24"/>
            <w:szCs w:val="24"/>
          </w:rPr>
          <w:t>https://cdn.actlabs.com/wp-content/uploads/2019/10/Actlabs-Schedule-of-Services-Canada-2019-07-22.pd</w:t>
        </w:r>
        <w:r w:rsidRPr="001C096C">
          <w:rPr>
            <w:sz w:val="24"/>
            <w:szCs w:val="24"/>
          </w:rPr>
          <w:t xml:space="preserve"> </w:t>
        </w:r>
        <w:hyperlink r:id="rId11" w:history="1">
          <w:r w:rsidRPr="001C096C">
            <w:rPr>
              <w:rStyle w:val="Hyperlink"/>
              <w:sz w:val="24"/>
              <w:szCs w:val="24"/>
            </w:rPr>
            <w:t>https://actlabs.com/geochemistry/lithogeochemistry-and-whole-rock-analysis/</w:t>
          </w:r>
        </w:hyperlink>
      </w:hyperlink>
      <w:r w:rsidRPr="001C096C">
        <w:rPr>
          <w:sz w:val="24"/>
          <w:szCs w:val="24"/>
        </w:rPr>
        <w:t xml:space="preserve">) </w:t>
      </w:r>
      <w:r w:rsidR="00825940">
        <w:rPr>
          <w:sz w:val="24"/>
          <w:szCs w:val="24"/>
        </w:rPr>
        <w:t>and</w:t>
      </w:r>
      <w:r w:rsidRPr="001C096C">
        <w:rPr>
          <w:sz w:val="24"/>
          <w:szCs w:val="24"/>
        </w:rPr>
        <w:t xml:space="preserve"> ALS Laboratories (methods for which can be found at </w:t>
      </w:r>
      <w:hyperlink r:id="rId12" w:history="1">
        <w:r w:rsidRPr="001C096C">
          <w:rPr>
            <w:rStyle w:val="Hyperlink"/>
            <w:sz w:val="24"/>
            <w:szCs w:val="24"/>
          </w:rPr>
          <w:t>https://www.alsglobal.com/en-us/?gclid=EAIaIQobChMI9rrc5an05gIVFq5kCh3n1AEBEAAYASAAEgLbY_D_BwE</w:t>
        </w:r>
      </w:hyperlink>
      <w:r w:rsidRPr="001C096C">
        <w:rPr>
          <w:sz w:val="24"/>
          <w:szCs w:val="24"/>
        </w:rPr>
        <w:t>).</w:t>
      </w:r>
    </w:p>
    <w:p w14:paraId="639BE762" w14:textId="77777777" w:rsidR="009931F8" w:rsidRPr="001C096C" w:rsidRDefault="009931F8">
      <w:pPr>
        <w:rPr>
          <w:sz w:val="24"/>
          <w:szCs w:val="24"/>
        </w:rPr>
      </w:pPr>
    </w:p>
    <w:p w14:paraId="6F0879E8" w14:textId="77777777" w:rsidR="00F30CED" w:rsidRPr="001C096C" w:rsidRDefault="00F30CED">
      <w:pPr>
        <w:rPr>
          <w:sz w:val="24"/>
          <w:szCs w:val="24"/>
        </w:rPr>
      </w:pPr>
      <w:r w:rsidRPr="001C096C">
        <w:rPr>
          <w:sz w:val="24"/>
          <w:szCs w:val="24"/>
        </w:rPr>
        <w:t xml:space="preserve">TABLE </w:t>
      </w:r>
      <w:r w:rsidR="000705D0" w:rsidRPr="001C096C">
        <w:rPr>
          <w:sz w:val="24"/>
          <w:szCs w:val="24"/>
        </w:rPr>
        <w:t>5-</w:t>
      </w:r>
      <w:r w:rsidRPr="001C096C">
        <w:rPr>
          <w:sz w:val="24"/>
          <w:szCs w:val="24"/>
        </w:rPr>
        <w:t xml:space="preserve">1. Summary of laboratory </w:t>
      </w:r>
      <w:r w:rsidR="00823667" w:rsidRPr="001C096C">
        <w:rPr>
          <w:sz w:val="24"/>
          <w:szCs w:val="24"/>
        </w:rPr>
        <w:t xml:space="preserve">chemical </w:t>
      </w:r>
      <w:r w:rsidRPr="001C096C">
        <w:rPr>
          <w:sz w:val="24"/>
          <w:szCs w:val="24"/>
        </w:rPr>
        <w:t>analyses of</w:t>
      </w:r>
      <w:r w:rsidR="00823667" w:rsidRPr="001C096C">
        <w:rPr>
          <w:sz w:val="24"/>
          <w:szCs w:val="24"/>
        </w:rPr>
        <w:t xml:space="preserve"> different data sets of samples used in this report</w:t>
      </w:r>
      <w:r w:rsidR="00F141D9" w:rsidRPr="001C096C">
        <w:rPr>
          <w:sz w:val="24"/>
          <w:szCs w:val="24"/>
        </w:rPr>
        <w:t xml:space="preserve"> (Appendix 3)</w:t>
      </w:r>
      <w:r w:rsidR="00823667" w:rsidRPr="001C096C">
        <w:rPr>
          <w:sz w:val="24"/>
          <w:szCs w:val="24"/>
        </w:rPr>
        <w:t>.</w:t>
      </w:r>
      <w:r w:rsidR="00AA3A35" w:rsidRPr="001C096C">
        <w:rPr>
          <w:sz w:val="24"/>
          <w:szCs w:val="24"/>
        </w:rPr>
        <w:t xml:space="preserve"> See references for more information on sample preparation, chemical analyses and detection limits.</w:t>
      </w:r>
      <w:r w:rsidR="00F141D9" w:rsidRPr="001C096C">
        <w:rPr>
          <w:sz w:val="24"/>
          <w:szCs w:val="24"/>
        </w:rPr>
        <w:t xml:space="preserve"> Abbreviations are defined in the text.</w:t>
      </w:r>
      <w:r w:rsidR="001C096C" w:rsidRPr="001C096C">
        <w:rPr>
          <w:sz w:val="24"/>
          <w:szCs w:val="24"/>
        </w:rPr>
        <w:t xml:space="preserve"> </w:t>
      </w:r>
    </w:p>
    <w:tbl>
      <w:tblPr>
        <w:tblStyle w:val="TableGrid"/>
        <w:tblW w:w="9355" w:type="dxa"/>
        <w:tblLayout w:type="fixed"/>
        <w:tblLook w:val="04A0" w:firstRow="1" w:lastRow="0" w:firstColumn="1" w:lastColumn="0" w:noHBand="0" w:noVBand="1"/>
      </w:tblPr>
      <w:tblGrid>
        <w:gridCol w:w="1255"/>
        <w:gridCol w:w="990"/>
        <w:gridCol w:w="1350"/>
        <w:gridCol w:w="1530"/>
        <w:gridCol w:w="2340"/>
        <w:gridCol w:w="1890"/>
      </w:tblGrid>
      <w:tr w:rsidR="00FE345F" w:rsidRPr="0021660A" w14:paraId="12EF2BF9" w14:textId="77777777" w:rsidTr="00C54E80">
        <w:trPr>
          <w:tblHeader/>
        </w:trPr>
        <w:tc>
          <w:tcPr>
            <w:tcW w:w="1255" w:type="dxa"/>
          </w:tcPr>
          <w:p w14:paraId="3339BB48" w14:textId="77777777" w:rsidR="00FE345F" w:rsidRPr="00C54E80" w:rsidRDefault="00FE345F">
            <w:pPr>
              <w:rPr>
                <w:b/>
              </w:rPr>
            </w:pPr>
            <w:r w:rsidRPr="00C54E80">
              <w:rPr>
                <w:b/>
              </w:rPr>
              <w:t>Data set</w:t>
            </w:r>
          </w:p>
        </w:tc>
        <w:tc>
          <w:tcPr>
            <w:tcW w:w="990" w:type="dxa"/>
          </w:tcPr>
          <w:p w14:paraId="48D298B1" w14:textId="77777777" w:rsidR="00FE345F" w:rsidRPr="00C54E80" w:rsidRDefault="00FE345F">
            <w:pPr>
              <w:rPr>
                <w:b/>
              </w:rPr>
            </w:pPr>
            <w:r w:rsidRPr="00C54E80">
              <w:rPr>
                <w:b/>
              </w:rPr>
              <w:t>Sample numbers</w:t>
            </w:r>
          </w:p>
        </w:tc>
        <w:tc>
          <w:tcPr>
            <w:tcW w:w="1350" w:type="dxa"/>
          </w:tcPr>
          <w:p w14:paraId="5238887B" w14:textId="77777777" w:rsidR="00FE345F" w:rsidRPr="00C54E80" w:rsidRDefault="00FE345F">
            <w:pPr>
              <w:rPr>
                <w:b/>
              </w:rPr>
            </w:pPr>
            <w:r w:rsidRPr="00C54E80">
              <w:rPr>
                <w:b/>
              </w:rPr>
              <w:t>Laboratory</w:t>
            </w:r>
          </w:p>
        </w:tc>
        <w:tc>
          <w:tcPr>
            <w:tcW w:w="1530" w:type="dxa"/>
          </w:tcPr>
          <w:p w14:paraId="5DD8A9C7" w14:textId="77777777" w:rsidR="00FE345F" w:rsidRPr="00C54E80" w:rsidRDefault="00FE345F">
            <w:pPr>
              <w:rPr>
                <w:b/>
              </w:rPr>
            </w:pPr>
            <w:r w:rsidRPr="00C54E80">
              <w:rPr>
                <w:b/>
              </w:rPr>
              <w:t xml:space="preserve">Elements </w:t>
            </w:r>
          </w:p>
        </w:tc>
        <w:tc>
          <w:tcPr>
            <w:tcW w:w="2340" w:type="dxa"/>
          </w:tcPr>
          <w:p w14:paraId="5BF621FD" w14:textId="77777777" w:rsidR="00FE345F" w:rsidRPr="00C54E80" w:rsidRDefault="00FE345F">
            <w:pPr>
              <w:rPr>
                <w:b/>
              </w:rPr>
            </w:pPr>
            <w:r w:rsidRPr="00C54E80">
              <w:rPr>
                <w:b/>
              </w:rPr>
              <w:t>Analytical method</w:t>
            </w:r>
          </w:p>
        </w:tc>
        <w:tc>
          <w:tcPr>
            <w:tcW w:w="1890" w:type="dxa"/>
          </w:tcPr>
          <w:p w14:paraId="0C82D9EE" w14:textId="77777777" w:rsidR="00FE345F" w:rsidRPr="00C54E80" w:rsidRDefault="00FE345F">
            <w:pPr>
              <w:rPr>
                <w:b/>
              </w:rPr>
            </w:pPr>
            <w:r w:rsidRPr="00C54E80">
              <w:rPr>
                <w:b/>
              </w:rPr>
              <w:t>Comments</w:t>
            </w:r>
          </w:p>
        </w:tc>
      </w:tr>
      <w:tr w:rsidR="00FE345F" w:rsidRPr="0021660A" w14:paraId="3A0669DC" w14:textId="77777777" w:rsidTr="00C54E80">
        <w:tc>
          <w:tcPr>
            <w:tcW w:w="1255" w:type="dxa"/>
          </w:tcPr>
          <w:p w14:paraId="7C769EE2" w14:textId="77777777" w:rsidR="00FE345F" w:rsidRPr="0021660A" w:rsidRDefault="00FE345F" w:rsidP="00A628E8">
            <w:r>
              <w:t>McLemore (2010)</w:t>
            </w:r>
          </w:p>
        </w:tc>
        <w:tc>
          <w:tcPr>
            <w:tcW w:w="990" w:type="dxa"/>
          </w:tcPr>
          <w:p w14:paraId="6DBA437A" w14:textId="77777777" w:rsidR="00FE345F" w:rsidRPr="0021660A" w:rsidRDefault="00FE345F" w:rsidP="00A628E8">
            <w:r>
              <w:t>GM-09-LC-1-4, GM-10-1,2,6-9</w:t>
            </w:r>
          </w:p>
        </w:tc>
        <w:tc>
          <w:tcPr>
            <w:tcW w:w="1350" w:type="dxa"/>
          </w:tcPr>
          <w:p w14:paraId="1DBB976F" w14:textId="2C95D066" w:rsidR="00FE345F" w:rsidRPr="0021660A" w:rsidRDefault="00FE345F" w:rsidP="00A628E8">
            <w:r>
              <w:t>ALS, Reno N</w:t>
            </w:r>
            <w:r w:rsidR="00825940">
              <w:t>V</w:t>
            </w:r>
          </w:p>
        </w:tc>
        <w:tc>
          <w:tcPr>
            <w:tcW w:w="1530" w:type="dxa"/>
          </w:tcPr>
          <w:p w14:paraId="40AD3765" w14:textId="77777777" w:rsidR="00FE345F" w:rsidRDefault="00FE345F" w:rsidP="00A628E8">
            <w:r>
              <w:t>Major elements</w:t>
            </w:r>
          </w:p>
          <w:p w14:paraId="5032EEC3" w14:textId="77777777" w:rsidR="00FE345F" w:rsidRPr="0021660A" w:rsidRDefault="00FE345F" w:rsidP="00A628E8">
            <w:r>
              <w:t>Trace elements</w:t>
            </w:r>
          </w:p>
        </w:tc>
        <w:tc>
          <w:tcPr>
            <w:tcW w:w="2340" w:type="dxa"/>
          </w:tcPr>
          <w:p w14:paraId="4CFE9D35" w14:textId="6D928DA3" w:rsidR="0075523D" w:rsidRDefault="00FE345F" w:rsidP="00A628E8">
            <w:r>
              <w:t>Fusion ICP</w:t>
            </w:r>
            <w:r w:rsidR="0075523D">
              <w:t>-AES</w:t>
            </w:r>
          </w:p>
          <w:p w14:paraId="5EE1E972" w14:textId="77777777" w:rsidR="00FE345F" w:rsidRDefault="0075523D" w:rsidP="00A628E8">
            <w:r>
              <w:t>Fusion ICP-</w:t>
            </w:r>
            <w:r w:rsidR="00FE345F">
              <w:t xml:space="preserve">MS </w:t>
            </w:r>
          </w:p>
          <w:p w14:paraId="1BC5A989" w14:textId="77777777" w:rsidR="00FE345F" w:rsidRPr="0021660A" w:rsidRDefault="00FE345F" w:rsidP="00A628E8">
            <w:r>
              <w:t xml:space="preserve">ICP-MS </w:t>
            </w:r>
          </w:p>
        </w:tc>
        <w:tc>
          <w:tcPr>
            <w:tcW w:w="1890" w:type="dxa"/>
          </w:tcPr>
          <w:p w14:paraId="0905AE8F" w14:textId="77777777" w:rsidR="00FE345F" w:rsidRDefault="00FE345F" w:rsidP="00FE345F">
            <w:r>
              <w:t>Limited elements analyzed</w:t>
            </w:r>
          </w:p>
        </w:tc>
      </w:tr>
      <w:tr w:rsidR="00FE345F" w:rsidRPr="0021660A" w14:paraId="46F58A3E" w14:textId="77777777" w:rsidTr="00C54E80">
        <w:tc>
          <w:tcPr>
            <w:tcW w:w="1255" w:type="dxa"/>
          </w:tcPr>
          <w:p w14:paraId="2317E275" w14:textId="77777777" w:rsidR="00FE345F" w:rsidRPr="0021660A" w:rsidRDefault="00FE345F" w:rsidP="00A628E8">
            <w:r>
              <w:t>Korzeb and Kness (1992, p. 13)</w:t>
            </w:r>
          </w:p>
        </w:tc>
        <w:tc>
          <w:tcPr>
            <w:tcW w:w="990" w:type="dxa"/>
          </w:tcPr>
          <w:p w14:paraId="66576B8F" w14:textId="77777777" w:rsidR="00FE345F" w:rsidRPr="0021660A" w:rsidRDefault="00FE345F" w:rsidP="00A628E8">
            <w:r>
              <w:t>K293-K297</w:t>
            </w:r>
          </w:p>
        </w:tc>
        <w:tc>
          <w:tcPr>
            <w:tcW w:w="1350" w:type="dxa"/>
          </w:tcPr>
          <w:p w14:paraId="42C62A9C" w14:textId="5F26524F" w:rsidR="00FE345F" w:rsidRPr="0021660A" w:rsidRDefault="00FE345F" w:rsidP="00825940">
            <w:r>
              <w:t>Bonder Clegg, Inc., Vancouver</w:t>
            </w:r>
            <w:r w:rsidR="0075523D">
              <w:t xml:space="preserve"> </w:t>
            </w:r>
            <w:r>
              <w:t>B.C.,</w:t>
            </w:r>
            <w:r w:rsidR="0075523D">
              <w:t xml:space="preserve"> </w:t>
            </w:r>
            <w:r>
              <w:t xml:space="preserve">Canada </w:t>
            </w:r>
          </w:p>
        </w:tc>
        <w:tc>
          <w:tcPr>
            <w:tcW w:w="1530" w:type="dxa"/>
          </w:tcPr>
          <w:p w14:paraId="475D7E75" w14:textId="77777777" w:rsidR="0075523D" w:rsidRDefault="00FE345F" w:rsidP="00A628E8">
            <w:r>
              <w:t>Au</w:t>
            </w:r>
          </w:p>
          <w:p w14:paraId="68C93BE6" w14:textId="5C30979C" w:rsidR="00FE345F" w:rsidRPr="0021660A" w:rsidRDefault="0075523D" w:rsidP="0075523D">
            <w:r>
              <w:t>T</w:t>
            </w:r>
            <w:r w:rsidR="00FE345F">
              <w:t>race elements</w:t>
            </w:r>
          </w:p>
        </w:tc>
        <w:tc>
          <w:tcPr>
            <w:tcW w:w="2340" w:type="dxa"/>
          </w:tcPr>
          <w:p w14:paraId="0B0BC7E4" w14:textId="77777777" w:rsidR="00FE345F" w:rsidRPr="0021660A" w:rsidRDefault="00FE345F" w:rsidP="00A628E8">
            <w:r>
              <w:t>INAA</w:t>
            </w:r>
          </w:p>
        </w:tc>
        <w:tc>
          <w:tcPr>
            <w:tcW w:w="1890" w:type="dxa"/>
          </w:tcPr>
          <w:p w14:paraId="5E00276E" w14:textId="77777777" w:rsidR="00FE345F" w:rsidRDefault="00FE345F" w:rsidP="00A628E8">
            <w:r>
              <w:t>Limited elements analyzed</w:t>
            </w:r>
          </w:p>
        </w:tc>
      </w:tr>
      <w:tr w:rsidR="00FE345F" w:rsidRPr="0021660A" w14:paraId="1AB26DC9" w14:textId="77777777" w:rsidTr="00C54E80">
        <w:tc>
          <w:tcPr>
            <w:tcW w:w="1255" w:type="dxa"/>
          </w:tcPr>
          <w:p w14:paraId="54C539D9" w14:textId="77777777" w:rsidR="00FE345F" w:rsidRPr="0021660A" w:rsidRDefault="00FE345F" w:rsidP="00A628E8">
            <w:r>
              <w:lastRenderedPageBreak/>
              <w:t>Schreiner (1993, p. 3)</w:t>
            </w:r>
          </w:p>
        </w:tc>
        <w:tc>
          <w:tcPr>
            <w:tcW w:w="990" w:type="dxa"/>
          </w:tcPr>
          <w:p w14:paraId="2D49250E" w14:textId="77777777" w:rsidR="00FE345F" w:rsidRPr="0021660A" w:rsidRDefault="00FE345F" w:rsidP="00A628E8">
            <w:r>
              <w:t>S1-S260</w:t>
            </w:r>
          </w:p>
        </w:tc>
        <w:tc>
          <w:tcPr>
            <w:tcW w:w="1350" w:type="dxa"/>
          </w:tcPr>
          <w:p w14:paraId="6A1F6126" w14:textId="4F351FA0" w:rsidR="00FE345F" w:rsidRPr="0021660A" w:rsidRDefault="00FE345F" w:rsidP="00A628E8">
            <w:r>
              <w:t>Bond</w:t>
            </w:r>
            <w:r w:rsidR="009931F8">
              <w:t>a</w:t>
            </w:r>
            <w:r>
              <w:t>r Clegg, Inc., Lakewood, Co.</w:t>
            </w:r>
          </w:p>
        </w:tc>
        <w:tc>
          <w:tcPr>
            <w:tcW w:w="1530" w:type="dxa"/>
          </w:tcPr>
          <w:p w14:paraId="50DEF18E" w14:textId="77777777" w:rsidR="00FE345F" w:rsidRDefault="00FE345F" w:rsidP="00A628E8">
            <w:r>
              <w:t>REE,</w:t>
            </w:r>
            <w:r w:rsidR="009931F8">
              <w:t xml:space="preserve"> </w:t>
            </w:r>
            <w:r>
              <w:t>Sc,</w:t>
            </w:r>
            <w:r w:rsidR="009931F8">
              <w:t xml:space="preserve"> </w:t>
            </w:r>
            <w:r>
              <w:t>Th,</w:t>
            </w:r>
            <w:r w:rsidR="009931F8">
              <w:t xml:space="preserve"> </w:t>
            </w:r>
            <w:r>
              <w:t>U</w:t>
            </w:r>
          </w:p>
          <w:p w14:paraId="6D2ABFB9" w14:textId="7A42FEF7" w:rsidR="00FE345F" w:rsidRDefault="00FE345F" w:rsidP="00A628E8">
            <w:r>
              <w:t>Au</w:t>
            </w:r>
          </w:p>
          <w:p w14:paraId="2D22587A" w14:textId="3D473B99" w:rsidR="00FE345F" w:rsidRDefault="00FE345F" w:rsidP="00A628E8">
            <w:r>
              <w:t>Sb,</w:t>
            </w:r>
            <w:r w:rsidR="009931F8">
              <w:t xml:space="preserve"> </w:t>
            </w:r>
            <w:r>
              <w:t>As,</w:t>
            </w:r>
            <w:r w:rsidR="009931F8">
              <w:t xml:space="preserve"> </w:t>
            </w:r>
            <w:r>
              <w:t>Bi,</w:t>
            </w:r>
            <w:r w:rsidR="009931F8">
              <w:t xml:space="preserve"> </w:t>
            </w:r>
            <w:r>
              <w:t>Cr,</w:t>
            </w:r>
            <w:r w:rsidR="009931F8">
              <w:t xml:space="preserve"> </w:t>
            </w:r>
            <w:r>
              <w:t>Co,</w:t>
            </w:r>
            <w:r w:rsidR="009931F8">
              <w:t xml:space="preserve"> </w:t>
            </w:r>
            <w:r>
              <w:t>Cu,</w:t>
            </w:r>
            <w:r w:rsidR="009931F8">
              <w:t xml:space="preserve"> </w:t>
            </w:r>
            <w:r>
              <w:t>Pb,</w:t>
            </w:r>
            <w:r w:rsidR="009931F8">
              <w:t xml:space="preserve"> </w:t>
            </w:r>
            <w:r>
              <w:t>Fe,</w:t>
            </w:r>
            <w:r w:rsidR="009931F8">
              <w:t xml:space="preserve"> </w:t>
            </w:r>
            <w:r>
              <w:t>Mn,</w:t>
            </w:r>
            <w:r w:rsidR="009931F8">
              <w:t xml:space="preserve"> </w:t>
            </w:r>
            <w:r>
              <w:t>Mo,</w:t>
            </w:r>
            <w:r w:rsidR="009931F8">
              <w:t xml:space="preserve"> </w:t>
            </w:r>
            <w:r>
              <w:t>Ni,</w:t>
            </w:r>
            <w:r w:rsidR="009931F8">
              <w:t xml:space="preserve"> </w:t>
            </w:r>
            <w:r>
              <w:t>Ag, W, Zn</w:t>
            </w:r>
            <w:r w:rsidR="009931F8">
              <w:t xml:space="preserve">, </w:t>
            </w:r>
            <w:r>
              <w:t>Ba,</w:t>
            </w:r>
            <w:r w:rsidR="009931F8">
              <w:t xml:space="preserve"> </w:t>
            </w:r>
            <w:r>
              <w:t>Sr,</w:t>
            </w:r>
            <w:r w:rsidR="009931F8">
              <w:t xml:space="preserve"> </w:t>
            </w:r>
            <w:r>
              <w:t>Y, Nb</w:t>
            </w:r>
            <w:r w:rsidR="009931F8">
              <w:t xml:space="preserve">, </w:t>
            </w:r>
            <w:r>
              <w:t>Hg</w:t>
            </w:r>
            <w:r w:rsidR="009931F8">
              <w:t xml:space="preserve">, </w:t>
            </w:r>
            <w:r>
              <w:t>Te</w:t>
            </w:r>
          </w:p>
          <w:p w14:paraId="19A8FE5D" w14:textId="77777777" w:rsidR="009931F8" w:rsidRDefault="00FE345F" w:rsidP="00A628E8">
            <w:r>
              <w:t>Major elements</w:t>
            </w:r>
          </w:p>
          <w:p w14:paraId="0332F88D" w14:textId="77777777" w:rsidR="00FE345F" w:rsidRPr="0021660A" w:rsidRDefault="009931F8" w:rsidP="00A628E8">
            <w:r>
              <w:t>F</w:t>
            </w:r>
            <w:r w:rsidR="00FE345F">
              <w:t xml:space="preserve"> </w:t>
            </w:r>
          </w:p>
        </w:tc>
        <w:tc>
          <w:tcPr>
            <w:tcW w:w="2340" w:type="dxa"/>
          </w:tcPr>
          <w:p w14:paraId="33712247" w14:textId="7E4548DC" w:rsidR="00FE345F" w:rsidRDefault="00FE345F" w:rsidP="00A628E8">
            <w:r>
              <w:t>INAA</w:t>
            </w:r>
            <w:r w:rsidR="00825940">
              <w:t xml:space="preserve">; </w:t>
            </w:r>
            <w:r>
              <w:t>Fire assay-AAS</w:t>
            </w:r>
            <w:r w:rsidR="00825940">
              <w:t xml:space="preserve">; </w:t>
            </w:r>
            <w:r>
              <w:t>Specific ion probe</w:t>
            </w:r>
            <w:r w:rsidR="00825940">
              <w:t>;</w:t>
            </w:r>
          </w:p>
          <w:p w14:paraId="57D45AAB" w14:textId="690C4149" w:rsidR="00FE345F" w:rsidRDefault="00FE345F" w:rsidP="00A628E8">
            <w:r>
              <w:t>ICP-</w:t>
            </w:r>
            <w:r w:rsidR="009931F8">
              <w:t>A</w:t>
            </w:r>
            <w:r>
              <w:t>ES</w:t>
            </w:r>
            <w:r w:rsidR="00825940">
              <w:t xml:space="preserve">; </w:t>
            </w:r>
            <w:r>
              <w:t>XRF</w:t>
            </w:r>
            <w:r w:rsidR="00825940">
              <w:t xml:space="preserve">; </w:t>
            </w:r>
            <w:r>
              <w:t>Cold vapor AAS</w:t>
            </w:r>
            <w:r w:rsidR="00825940">
              <w:t xml:space="preserve">; </w:t>
            </w:r>
            <w:r>
              <w:t>AAS</w:t>
            </w:r>
            <w:r w:rsidR="00825940">
              <w:t>;</w:t>
            </w:r>
          </w:p>
          <w:p w14:paraId="08A742BE" w14:textId="77777777" w:rsidR="00FE345F" w:rsidRPr="0021660A" w:rsidRDefault="00FE345F" w:rsidP="00A628E8">
            <w:r>
              <w:t>Borate plasma emission spectroscopy</w:t>
            </w:r>
          </w:p>
        </w:tc>
        <w:tc>
          <w:tcPr>
            <w:tcW w:w="1890" w:type="dxa"/>
          </w:tcPr>
          <w:p w14:paraId="13B826BA" w14:textId="77777777" w:rsidR="00FE345F" w:rsidRDefault="00FE345F" w:rsidP="00A628E8">
            <w:r>
              <w:t>Not all samples were analyzed for major elements and important trace elements (F, et</w:t>
            </w:r>
            <w:r w:rsidR="00825940">
              <w:t>c</w:t>
            </w:r>
            <w:r>
              <w:t>.)</w:t>
            </w:r>
          </w:p>
        </w:tc>
      </w:tr>
      <w:tr w:rsidR="00FE345F" w:rsidRPr="0021660A" w14:paraId="5C87D702" w14:textId="77777777" w:rsidTr="00C54E80">
        <w:tc>
          <w:tcPr>
            <w:tcW w:w="1255" w:type="dxa"/>
          </w:tcPr>
          <w:p w14:paraId="4A2A850C" w14:textId="77777777" w:rsidR="00FE345F" w:rsidRPr="0021660A" w:rsidRDefault="00FE345F" w:rsidP="00A628E8">
            <w:r>
              <w:t>Brian Alers</w:t>
            </w:r>
          </w:p>
        </w:tc>
        <w:tc>
          <w:tcPr>
            <w:tcW w:w="990" w:type="dxa"/>
          </w:tcPr>
          <w:p w14:paraId="5C3EECB5" w14:textId="77777777" w:rsidR="00FE345F" w:rsidRPr="0021660A" w:rsidRDefault="00FE345F" w:rsidP="00A628E8">
            <w:r>
              <w:t>RM1-RM30</w:t>
            </w:r>
          </w:p>
        </w:tc>
        <w:tc>
          <w:tcPr>
            <w:tcW w:w="1350" w:type="dxa"/>
          </w:tcPr>
          <w:p w14:paraId="750BC34D" w14:textId="16317479" w:rsidR="00FE345F" w:rsidRPr="0021660A" w:rsidRDefault="00FE345F" w:rsidP="00825940">
            <w:r>
              <w:t>ActLabs, Reno</w:t>
            </w:r>
            <w:r w:rsidR="00825940">
              <w:t>,</w:t>
            </w:r>
            <w:r>
              <w:t xml:space="preserve"> N</w:t>
            </w:r>
            <w:r w:rsidR="00825940">
              <w:t>V</w:t>
            </w:r>
          </w:p>
        </w:tc>
        <w:tc>
          <w:tcPr>
            <w:tcW w:w="1530" w:type="dxa"/>
          </w:tcPr>
          <w:p w14:paraId="5F506239" w14:textId="77777777" w:rsidR="00FE345F" w:rsidRDefault="00FE345F" w:rsidP="00A628E8">
            <w:r>
              <w:t>Au</w:t>
            </w:r>
          </w:p>
          <w:p w14:paraId="29D50B49" w14:textId="77777777" w:rsidR="00FE345F" w:rsidRDefault="00FE345F" w:rsidP="00A628E8">
            <w:r>
              <w:t>Major elements</w:t>
            </w:r>
          </w:p>
          <w:p w14:paraId="6D1EBC8B" w14:textId="77777777" w:rsidR="00FE345F" w:rsidRDefault="00FE345F" w:rsidP="00A628E8">
            <w:r>
              <w:t>Trace elements</w:t>
            </w:r>
          </w:p>
          <w:p w14:paraId="4F341635" w14:textId="77777777" w:rsidR="00FE345F" w:rsidRPr="0021660A" w:rsidRDefault="00FE345F" w:rsidP="00A628E8">
            <w:r>
              <w:t>F</w:t>
            </w:r>
          </w:p>
        </w:tc>
        <w:tc>
          <w:tcPr>
            <w:tcW w:w="2340" w:type="dxa"/>
          </w:tcPr>
          <w:p w14:paraId="1C44D6E2" w14:textId="77777777" w:rsidR="00FE345F" w:rsidRDefault="00FE345F" w:rsidP="00A628E8">
            <w:r>
              <w:t>Fire assay-AAS</w:t>
            </w:r>
            <w:r w:rsidR="009931F8">
              <w:t>;</w:t>
            </w:r>
          </w:p>
          <w:p w14:paraId="5E418E60" w14:textId="60B30560" w:rsidR="00FE345F" w:rsidRPr="0021660A" w:rsidRDefault="00FE345F" w:rsidP="009931F8">
            <w:r>
              <w:t>Fusion ICP</w:t>
            </w:r>
            <w:r w:rsidR="009931F8">
              <w:t>-AES;</w:t>
            </w:r>
            <w:r>
              <w:t xml:space="preserve"> </w:t>
            </w:r>
            <w:r w:rsidR="009931F8">
              <w:t>Fusion ICP-</w:t>
            </w:r>
            <w:r>
              <w:t>MS</w:t>
            </w:r>
            <w:r w:rsidR="009931F8">
              <w:t xml:space="preserve">; </w:t>
            </w:r>
            <w:r>
              <w:t>Fusion ISE</w:t>
            </w:r>
          </w:p>
        </w:tc>
        <w:tc>
          <w:tcPr>
            <w:tcW w:w="1890" w:type="dxa"/>
          </w:tcPr>
          <w:p w14:paraId="13FFEF31" w14:textId="77777777" w:rsidR="00FE345F" w:rsidRDefault="00FE345F" w:rsidP="00A628E8">
            <w:r>
              <w:t>Some samples from ALS are reported as upper detection limits (Ba, Sr, Cu, etc</w:t>
            </w:r>
            <w:r w:rsidR="00825940">
              <w:t>.</w:t>
            </w:r>
            <w:r>
              <w:t>)</w:t>
            </w:r>
          </w:p>
        </w:tc>
      </w:tr>
      <w:tr w:rsidR="00FE345F" w:rsidRPr="0021660A" w14:paraId="2913E11B" w14:textId="77777777" w:rsidTr="00C54E80">
        <w:tc>
          <w:tcPr>
            <w:tcW w:w="1255" w:type="dxa"/>
          </w:tcPr>
          <w:p w14:paraId="62504802" w14:textId="77777777" w:rsidR="00FE345F" w:rsidRPr="0021660A" w:rsidRDefault="00FE345F" w:rsidP="00A628E8">
            <w:r>
              <w:t>Robison (2017)</w:t>
            </w:r>
          </w:p>
        </w:tc>
        <w:tc>
          <w:tcPr>
            <w:tcW w:w="990" w:type="dxa"/>
          </w:tcPr>
          <w:p w14:paraId="3CE75E3A" w14:textId="666A663C" w:rsidR="00FE345F" w:rsidRPr="0021660A" w:rsidRDefault="00FE345F" w:rsidP="00A628E8">
            <w:r>
              <w:t>T</w:t>
            </w:r>
            <w:r w:rsidR="009931F8">
              <w:t>A</w:t>
            </w:r>
            <w:r>
              <w:t>,</w:t>
            </w:r>
            <w:r w:rsidR="009931F8">
              <w:t xml:space="preserve"> </w:t>
            </w:r>
            <w:r>
              <w:t>F</w:t>
            </w:r>
            <w:r w:rsidR="009931F8">
              <w:t>-</w:t>
            </w:r>
            <w:r>
              <w:t>2,</w:t>
            </w:r>
            <w:r w:rsidR="009931F8">
              <w:t xml:space="preserve"> </w:t>
            </w:r>
            <w:r>
              <w:t>TL,</w:t>
            </w:r>
            <w:r w:rsidR="009931F8">
              <w:t xml:space="preserve"> </w:t>
            </w:r>
            <w:r>
              <w:t>Tr-E</w:t>
            </w:r>
            <w:r w:rsidR="009931F8">
              <w:t xml:space="preserve">, </w:t>
            </w:r>
            <w:r>
              <w:t>Tt</w:t>
            </w:r>
            <w:r w:rsidR="009931F8">
              <w:t xml:space="preserve"> </w:t>
            </w:r>
            <w:r>
              <w:t>AM</w:t>
            </w:r>
            <w:r w:rsidR="009931F8">
              <w:t xml:space="preserve">, </w:t>
            </w:r>
            <w:r>
              <w:t>Tts-2</w:t>
            </w:r>
          </w:p>
        </w:tc>
        <w:tc>
          <w:tcPr>
            <w:tcW w:w="1350" w:type="dxa"/>
          </w:tcPr>
          <w:p w14:paraId="1316A752" w14:textId="1AE0EABC" w:rsidR="00FE345F" w:rsidRPr="0021660A" w:rsidRDefault="00FE345F" w:rsidP="00A628E8">
            <w:r>
              <w:t>ActLabs, Reno</w:t>
            </w:r>
            <w:r w:rsidR="009931F8">
              <w:t>,</w:t>
            </w:r>
            <w:r>
              <w:t xml:space="preserve"> N</w:t>
            </w:r>
            <w:r w:rsidR="00825940">
              <w:t>V</w:t>
            </w:r>
          </w:p>
        </w:tc>
        <w:tc>
          <w:tcPr>
            <w:tcW w:w="1530" w:type="dxa"/>
          </w:tcPr>
          <w:p w14:paraId="671DBCDE" w14:textId="77777777" w:rsidR="00FE345F" w:rsidRDefault="00FE345F" w:rsidP="00A628E8">
            <w:r>
              <w:t>Major elements</w:t>
            </w:r>
          </w:p>
          <w:p w14:paraId="7AE386CF" w14:textId="77777777" w:rsidR="00FE345F" w:rsidRPr="0021660A" w:rsidRDefault="00FE345F" w:rsidP="00A628E8">
            <w:r>
              <w:t>Trace elements</w:t>
            </w:r>
          </w:p>
        </w:tc>
        <w:tc>
          <w:tcPr>
            <w:tcW w:w="2340" w:type="dxa"/>
          </w:tcPr>
          <w:p w14:paraId="05B79E33" w14:textId="77777777" w:rsidR="009931F8" w:rsidRDefault="00FE345F" w:rsidP="00A628E8">
            <w:r>
              <w:t>Fusion ICP</w:t>
            </w:r>
            <w:r w:rsidR="009931F8">
              <w:t xml:space="preserve">-AES; </w:t>
            </w:r>
          </w:p>
          <w:p w14:paraId="703CCCB0" w14:textId="4199E718" w:rsidR="00FE345F" w:rsidRDefault="009931F8" w:rsidP="00A628E8">
            <w:r>
              <w:t>Fusion ICP-</w:t>
            </w:r>
            <w:r w:rsidR="00FE345F">
              <w:t xml:space="preserve">MS </w:t>
            </w:r>
          </w:p>
          <w:p w14:paraId="678564AF" w14:textId="4843516B" w:rsidR="00FE345F" w:rsidRPr="0021660A" w:rsidRDefault="00FE345F" w:rsidP="00A628E8"/>
        </w:tc>
        <w:tc>
          <w:tcPr>
            <w:tcW w:w="1890" w:type="dxa"/>
          </w:tcPr>
          <w:p w14:paraId="03748B62" w14:textId="77777777" w:rsidR="00FE345F" w:rsidRDefault="00FE345F" w:rsidP="00A628E8">
            <w:r>
              <w:t>Quality control and error analyses reported</w:t>
            </w:r>
          </w:p>
        </w:tc>
      </w:tr>
      <w:tr w:rsidR="00FE345F" w:rsidRPr="0021660A" w14:paraId="678A7AA0" w14:textId="77777777" w:rsidTr="00C54E80">
        <w:tc>
          <w:tcPr>
            <w:tcW w:w="1255" w:type="dxa"/>
          </w:tcPr>
          <w:p w14:paraId="7AAF8C9E" w14:textId="77777777" w:rsidR="00FE345F" w:rsidRPr="0021660A" w:rsidRDefault="00FE345F" w:rsidP="00A628E8">
            <w:r>
              <w:t>This report</w:t>
            </w:r>
          </w:p>
        </w:tc>
        <w:tc>
          <w:tcPr>
            <w:tcW w:w="990" w:type="dxa"/>
          </w:tcPr>
          <w:p w14:paraId="3BB27200" w14:textId="77777777" w:rsidR="00FE345F" w:rsidRPr="0021660A" w:rsidRDefault="00FE345F" w:rsidP="00A628E8">
            <w:r>
              <w:t>Various samples prefixed by Gal; A25, A27</w:t>
            </w:r>
          </w:p>
        </w:tc>
        <w:tc>
          <w:tcPr>
            <w:tcW w:w="1350" w:type="dxa"/>
          </w:tcPr>
          <w:p w14:paraId="47CC335B" w14:textId="77777777" w:rsidR="00FE345F" w:rsidRPr="0021660A" w:rsidRDefault="00FE345F" w:rsidP="00A628E8">
            <w:r>
              <w:t>USGS laboratory</w:t>
            </w:r>
          </w:p>
        </w:tc>
        <w:tc>
          <w:tcPr>
            <w:tcW w:w="1530" w:type="dxa"/>
          </w:tcPr>
          <w:p w14:paraId="7FDAFD3A" w14:textId="77777777" w:rsidR="00FE345F" w:rsidRDefault="00FE345F" w:rsidP="00A628E8">
            <w:r>
              <w:t>Major elements</w:t>
            </w:r>
          </w:p>
          <w:p w14:paraId="0F318BBD" w14:textId="77777777" w:rsidR="00FE345F" w:rsidRDefault="00FE345F" w:rsidP="00A628E8">
            <w:r>
              <w:t>Trace elements</w:t>
            </w:r>
          </w:p>
          <w:p w14:paraId="7ACA9A43" w14:textId="77777777" w:rsidR="00FE345F" w:rsidRDefault="00FE345F" w:rsidP="00A628E8">
            <w:r>
              <w:t>Loss on ignition (LOI)</w:t>
            </w:r>
          </w:p>
          <w:p w14:paraId="498CFCEB" w14:textId="77777777" w:rsidR="00FE345F" w:rsidRPr="0021660A" w:rsidRDefault="00FE345F" w:rsidP="00A628E8">
            <w:r>
              <w:t>F</w:t>
            </w:r>
          </w:p>
        </w:tc>
        <w:tc>
          <w:tcPr>
            <w:tcW w:w="2340" w:type="dxa"/>
          </w:tcPr>
          <w:p w14:paraId="760E8676" w14:textId="59975D92" w:rsidR="009931F8" w:rsidRDefault="00FE345F" w:rsidP="00A628E8">
            <w:r>
              <w:t>WDXRF</w:t>
            </w:r>
            <w:r w:rsidR="009931F8">
              <w:t xml:space="preserve">; </w:t>
            </w:r>
          </w:p>
          <w:p w14:paraId="660E9E19" w14:textId="1B28068C" w:rsidR="00FE345F" w:rsidRDefault="00FE345F" w:rsidP="00A628E8">
            <w:r>
              <w:t>ICP-</w:t>
            </w:r>
            <w:r w:rsidR="009931F8">
              <w:t>A</w:t>
            </w:r>
            <w:r>
              <w:t>ES-MS</w:t>
            </w:r>
            <w:r w:rsidR="009931F8">
              <w:t xml:space="preserve">; </w:t>
            </w:r>
            <w:r>
              <w:t>Gravimetric</w:t>
            </w:r>
            <w:r w:rsidR="009931F8">
              <w:t>;</w:t>
            </w:r>
          </w:p>
          <w:p w14:paraId="59D40417" w14:textId="77777777" w:rsidR="00FE345F" w:rsidRPr="0021660A" w:rsidRDefault="00FE345F" w:rsidP="00A628E8">
            <w:r>
              <w:t>Ion chromatograph</w:t>
            </w:r>
          </w:p>
        </w:tc>
        <w:tc>
          <w:tcPr>
            <w:tcW w:w="1890" w:type="dxa"/>
          </w:tcPr>
          <w:p w14:paraId="35ADCC7C" w14:textId="77777777" w:rsidR="00FE345F" w:rsidRDefault="00FE345F" w:rsidP="00A628E8"/>
        </w:tc>
      </w:tr>
      <w:tr w:rsidR="00FE345F" w:rsidRPr="0021660A" w14:paraId="48ADCAF4" w14:textId="77777777" w:rsidTr="00C54E80">
        <w:tc>
          <w:tcPr>
            <w:tcW w:w="1255" w:type="dxa"/>
          </w:tcPr>
          <w:p w14:paraId="468F3433" w14:textId="77777777" w:rsidR="00FE345F" w:rsidRDefault="00FE345F" w:rsidP="007C761A">
            <w:r>
              <w:t>This report</w:t>
            </w:r>
          </w:p>
        </w:tc>
        <w:tc>
          <w:tcPr>
            <w:tcW w:w="990" w:type="dxa"/>
          </w:tcPr>
          <w:p w14:paraId="7ED26DD4" w14:textId="77777777" w:rsidR="00FE345F" w:rsidRDefault="00FE345F" w:rsidP="007C761A">
            <w:r>
              <w:t>Various samples prefixed by Gal</w:t>
            </w:r>
          </w:p>
        </w:tc>
        <w:tc>
          <w:tcPr>
            <w:tcW w:w="1350" w:type="dxa"/>
          </w:tcPr>
          <w:p w14:paraId="69CC4E08" w14:textId="698FEFAA" w:rsidR="00FE345F" w:rsidRPr="0021660A" w:rsidRDefault="00FE345F" w:rsidP="007C761A">
            <w:r>
              <w:t>ALS, Reno, N</w:t>
            </w:r>
            <w:r w:rsidR="00825940">
              <w:t>V</w:t>
            </w:r>
          </w:p>
        </w:tc>
        <w:tc>
          <w:tcPr>
            <w:tcW w:w="1530" w:type="dxa"/>
          </w:tcPr>
          <w:p w14:paraId="5DDA7806" w14:textId="77777777" w:rsidR="00FE345F" w:rsidRDefault="00FE345F" w:rsidP="007C761A">
            <w:r>
              <w:t>Major elements</w:t>
            </w:r>
          </w:p>
          <w:p w14:paraId="213B6655" w14:textId="77777777" w:rsidR="00FE345F" w:rsidRDefault="00FE345F" w:rsidP="007C761A">
            <w:r>
              <w:t>Trace elements</w:t>
            </w:r>
          </w:p>
          <w:p w14:paraId="7ED190C9" w14:textId="77777777" w:rsidR="00FE345F" w:rsidRDefault="00FE345F" w:rsidP="007C761A">
            <w:r>
              <w:t>Loss on ignition (LOI)</w:t>
            </w:r>
          </w:p>
          <w:p w14:paraId="48AC5AEB" w14:textId="77777777" w:rsidR="00FE345F" w:rsidRPr="0021660A" w:rsidRDefault="00FE345F" w:rsidP="007C761A">
            <w:r>
              <w:t>F</w:t>
            </w:r>
          </w:p>
        </w:tc>
        <w:tc>
          <w:tcPr>
            <w:tcW w:w="2340" w:type="dxa"/>
          </w:tcPr>
          <w:p w14:paraId="0F51DD43" w14:textId="51EA3F8C" w:rsidR="00FE345F" w:rsidRDefault="00FE345F" w:rsidP="007C761A">
            <w:r>
              <w:t>XRF</w:t>
            </w:r>
            <w:r w:rsidR="009931F8">
              <w:t xml:space="preserve">; </w:t>
            </w:r>
            <w:r>
              <w:t>ICP-AES-MS</w:t>
            </w:r>
            <w:r w:rsidR="009931F8">
              <w:t>;</w:t>
            </w:r>
          </w:p>
          <w:p w14:paraId="52A208C3" w14:textId="77777777" w:rsidR="00FE345F" w:rsidRDefault="00FE345F" w:rsidP="007C761A">
            <w:r>
              <w:t>Gravimetric</w:t>
            </w:r>
            <w:r w:rsidR="009931F8">
              <w:t>;</w:t>
            </w:r>
          </w:p>
          <w:p w14:paraId="2D370E3D" w14:textId="77777777" w:rsidR="00FE345F" w:rsidRPr="0021660A" w:rsidRDefault="00FE345F" w:rsidP="007C761A">
            <w:r>
              <w:t>Ion chromatograph</w:t>
            </w:r>
          </w:p>
        </w:tc>
        <w:tc>
          <w:tcPr>
            <w:tcW w:w="1890" w:type="dxa"/>
          </w:tcPr>
          <w:p w14:paraId="3429F521" w14:textId="77777777" w:rsidR="00FE345F" w:rsidRDefault="00FE345F" w:rsidP="007C761A">
            <w:r>
              <w:t>Some samples from ALS are reported as upper detection limits (Ba, Sr, Cu, etc</w:t>
            </w:r>
            <w:r w:rsidR="00825940">
              <w:t>.</w:t>
            </w:r>
            <w:r>
              <w:t>)</w:t>
            </w:r>
          </w:p>
        </w:tc>
      </w:tr>
    </w:tbl>
    <w:p w14:paraId="4E4FD5EC" w14:textId="77777777" w:rsidR="00F30CED" w:rsidRDefault="00F30CED">
      <w:pPr>
        <w:rPr>
          <w:sz w:val="24"/>
          <w:szCs w:val="24"/>
        </w:rPr>
      </w:pPr>
    </w:p>
    <w:p w14:paraId="67CE8C0F" w14:textId="6F401547" w:rsidR="00C03F39" w:rsidRPr="000705D0" w:rsidRDefault="00C43597" w:rsidP="00C43597">
      <w:pPr>
        <w:ind w:firstLine="720"/>
        <w:rPr>
          <w:sz w:val="24"/>
          <w:szCs w:val="24"/>
        </w:rPr>
      </w:pPr>
      <w:bookmarkStart w:id="3" w:name="_Toc225781868"/>
      <w:r w:rsidRPr="00C43597">
        <w:rPr>
          <w:sz w:val="24"/>
          <w:szCs w:val="24"/>
        </w:rPr>
        <w:t>Samples collected in the field were selected and prepared for specific laboratory analyses</w:t>
      </w:r>
      <w:r w:rsidR="0075523D">
        <w:rPr>
          <w:sz w:val="24"/>
          <w:szCs w:val="24"/>
        </w:rPr>
        <w:t>, then</w:t>
      </w:r>
      <w:r w:rsidRPr="00C43597">
        <w:rPr>
          <w:sz w:val="24"/>
          <w:szCs w:val="24"/>
        </w:rPr>
        <w:t xml:space="preserve"> sent to a laboratory for analyses. </w:t>
      </w:r>
      <w:r w:rsidR="00C03F39" w:rsidRPr="000705D0">
        <w:rPr>
          <w:sz w:val="24"/>
          <w:szCs w:val="24"/>
        </w:rPr>
        <w:t>Samples GM-09-LC-1, GM-09-LC-4, GM-09-LC-2, GM-09-LC-3, 4094, 4088, 4089, 4090, 4091, 4092, 4093. GM-10-1, GM-10-2, and 9671 were collected by V.T. McLemore and analyzed by Strategic Resources Inc. Samples were collected at the surface. Surface samples were dried, crushed, split</w:t>
      </w:r>
      <w:r w:rsidR="0075523D">
        <w:rPr>
          <w:sz w:val="24"/>
          <w:szCs w:val="24"/>
        </w:rPr>
        <w:t>,</w:t>
      </w:r>
      <w:r w:rsidR="00C03F39" w:rsidRPr="000705D0">
        <w:rPr>
          <w:sz w:val="24"/>
          <w:szCs w:val="24"/>
        </w:rPr>
        <w:t xml:space="preserve"> and pulverized according to standard ALS Laboratory Group preparation methods PREP-31. Samples were analyzed by ALS Laboratory Group for major and trace elements by a variety of analytical methods (CCP-PKG03 and Au-ICP21), including X-Ray Fluorescence (XRF), </w:t>
      </w:r>
      <w:r w:rsidR="00C03F39" w:rsidRPr="000705D0">
        <w:rPr>
          <w:sz w:val="24"/>
          <w:szCs w:val="24"/>
          <w:lang w:val="en"/>
        </w:rPr>
        <w:t>inductively coupled plasma atomic emission spectroscopy (</w:t>
      </w:r>
      <w:r w:rsidR="00C03F39" w:rsidRPr="000705D0">
        <w:rPr>
          <w:sz w:val="24"/>
          <w:szCs w:val="24"/>
        </w:rPr>
        <w:t xml:space="preserve">ICP-AES), and </w:t>
      </w:r>
      <w:r w:rsidR="00C03F39" w:rsidRPr="000705D0">
        <w:rPr>
          <w:sz w:val="24"/>
          <w:szCs w:val="24"/>
          <w:lang w:val="en"/>
        </w:rPr>
        <w:t>inductively coupled plasma mass spectrometry (</w:t>
      </w:r>
      <w:r w:rsidR="00C03F39" w:rsidRPr="000705D0">
        <w:rPr>
          <w:sz w:val="24"/>
          <w:szCs w:val="24"/>
        </w:rPr>
        <w:t>ICP-MS)</w:t>
      </w:r>
      <w:r w:rsidR="00C03F39" w:rsidRPr="000705D0">
        <w:rPr>
          <w:b/>
          <w:sz w:val="24"/>
          <w:szCs w:val="24"/>
        </w:rPr>
        <w:t xml:space="preserve">. </w:t>
      </w:r>
      <w:r w:rsidR="00C03F39" w:rsidRPr="000705D0">
        <w:rPr>
          <w:sz w:val="24"/>
          <w:szCs w:val="24"/>
        </w:rPr>
        <w:t xml:space="preserve">This </w:t>
      </w:r>
      <w:r w:rsidR="00C54E80">
        <w:rPr>
          <w:sz w:val="24"/>
          <w:szCs w:val="24"/>
        </w:rPr>
        <w:t>method</w:t>
      </w:r>
      <w:r w:rsidR="00C54E80" w:rsidRPr="000705D0">
        <w:rPr>
          <w:sz w:val="24"/>
          <w:szCs w:val="24"/>
        </w:rPr>
        <w:t xml:space="preserve"> </w:t>
      </w:r>
      <w:r w:rsidR="00C03F39" w:rsidRPr="000705D0">
        <w:rPr>
          <w:sz w:val="24"/>
          <w:szCs w:val="24"/>
        </w:rPr>
        <w:t>combines the whole rock package ME-ICP06 plus carbon and sulfur by combustion furnace (ME-IR08) to quantify the major elements in a sample. Trace element</w:t>
      </w:r>
      <w:r w:rsidR="0031075E">
        <w:rPr>
          <w:sz w:val="24"/>
          <w:szCs w:val="24"/>
        </w:rPr>
        <w:t xml:space="preserve"> analyses</w:t>
      </w:r>
      <w:r w:rsidR="00C03F39" w:rsidRPr="000705D0">
        <w:rPr>
          <w:sz w:val="24"/>
          <w:szCs w:val="24"/>
        </w:rPr>
        <w:t xml:space="preserve">, including the full REE suite, are performed after </w:t>
      </w:r>
      <w:r w:rsidR="0031075E">
        <w:rPr>
          <w:sz w:val="24"/>
          <w:szCs w:val="24"/>
        </w:rPr>
        <w:t xml:space="preserve">a choice of </w:t>
      </w:r>
      <w:r w:rsidR="00C03F39" w:rsidRPr="000705D0">
        <w:rPr>
          <w:sz w:val="24"/>
          <w:szCs w:val="24"/>
        </w:rPr>
        <w:t xml:space="preserve">three digestions </w:t>
      </w:r>
      <w:r w:rsidR="0031075E">
        <w:rPr>
          <w:sz w:val="24"/>
          <w:szCs w:val="24"/>
        </w:rPr>
        <w:t>and</w:t>
      </w:r>
      <w:r w:rsidR="0031075E" w:rsidRPr="000705D0">
        <w:rPr>
          <w:sz w:val="24"/>
          <w:szCs w:val="24"/>
        </w:rPr>
        <w:t xml:space="preserve"> </w:t>
      </w:r>
      <w:r w:rsidR="00C03F39" w:rsidRPr="000705D0">
        <w:rPr>
          <w:sz w:val="24"/>
          <w:szCs w:val="24"/>
        </w:rPr>
        <w:t xml:space="preserve">either </w:t>
      </w:r>
      <w:r w:rsidR="0031075E">
        <w:rPr>
          <w:sz w:val="24"/>
          <w:szCs w:val="24"/>
        </w:rPr>
        <w:t xml:space="preserve">an </w:t>
      </w:r>
      <w:r w:rsidR="00C03F39" w:rsidRPr="000705D0">
        <w:rPr>
          <w:sz w:val="24"/>
          <w:szCs w:val="24"/>
        </w:rPr>
        <w:t>ICP-AES or ICP-MS finish: 1) a lithium borate fusion for the resistive elements (ME-MS81), 2) a four acid digestion for the base metals (ME-4ACD81) and 3) an aqua regia digestion (ME-MS42). Gold was analyzed separately</w:t>
      </w:r>
      <w:r w:rsidR="0031075E">
        <w:rPr>
          <w:sz w:val="24"/>
          <w:szCs w:val="24"/>
        </w:rPr>
        <w:t xml:space="preserve"> using fire assay with an ICP-MS finish</w:t>
      </w:r>
      <w:r w:rsidR="00C03F39" w:rsidRPr="000705D0">
        <w:rPr>
          <w:sz w:val="24"/>
          <w:szCs w:val="24"/>
        </w:rPr>
        <w:t xml:space="preserve"> (Au-ICP21).</w:t>
      </w:r>
    </w:p>
    <w:p w14:paraId="79E006AB" w14:textId="77777777" w:rsidR="000705D0" w:rsidRPr="000705D0" w:rsidRDefault="000705D0" w:rsidP="000705D0">
      <w:pPr>
        <w:outlineLvl w:val="1"/>
        <w:rPr>
          <w:sz w:val="24"/>
          <w:szCs w:val="24"/>
        </w:rPr>
      </w:pPr>
      <w:bookmarkStart w:id="4" w:name="_Toc225781872"/>
      <w:bookmarkEnd w:id="3"/>
    </w:p>
    <w:p w14:paraId="226CCB8E" w14:textId="77777777" w:rsidR="0075523D" w:rsidRDefault="0075523D" w:rsidP="008C1E72">
      <w:pPr>
        <w:jc w:val="center"/>
        <w:outlineLvl w:val="1"/>
        <w:rPr>
          <w:b/>
          <w:sz w:val="24"/>
          <w:szCs w:val="24"/>
        </w:rPr>
      </w:pPr>
    </w:p>
    <w:p w14:paraId="42C9BCC2" w14:textId="77777777" w:rsidR="0075523D" w:rsidRDefault="0075523D" w:rsidP="008C1E72">
      <w:pPr>
        <w:jc w:val="center"/>
        <w:outlineLvl w:val="1"/>
        <w:rPr>
          <w:b/>
          <w:sz w:val="24"/>
          <w:szCs w:val="24"/>
        </w:rPr>
      </w:pPr>
    </w:p>
    <w:p w14:paraId="505B44D4" w14:textId="77777777" w:rsidR="00F30CED" w:rsidRPr="000705D0" w:rsidRDefault="008C1E72" w:rsidP="008C1E72">
      <w:pPr>
        <w:jc w:val="center"/>
        <w:outlineLvl w:val="1"/>
        <w:rPr>
          <w:b/>
          <w:bCs/>
          <w:sz w:val="24"/>
          <w:szCs w:val="24"/>
        </w:rPr>
      </w:pPr>
      <w:r w:rsidRPr="000705D0">
        <w:rPr>
          <w:b/>
          <w:sz w:val="24"/>
          <w:szCs w:val="24"/>
        </w:rPr>
        <w:t>METHOD SUMMARIES</w:t>
      </w:r>
    </w:p>
    <w:p w14:paraId="586C5780" w14:textId="087D2980" w:rsidR="00BD4DB1" w:rsidRPr="00BD4DB1" w:rsidRDefault="00BD4DB1" w:rsidP="00BD4DB1">
      <w:pPr>
        <w:autoSpaceDE w:val="0"/>
        <w:autoSpaceDN w:val="0"/>
        <w:adjustRightInd w:val="0"/>
        <w:ind w:firstLine="720"/>
        <w:rPr>
          <w:sz w:val="24"/>
          <w:szCs w:val="24"/>
        </w:rPr>
      </w:pPr>
      <w:r w:rsidRPr="00BD4DB1">
        <w:rPr>
          <w:sz w:val="24"/>
          <w:szCs w:val="24"/>
        </w:rPr>
        <w:t xml:space="preserve">Samples were shipped by U.S. Postal Service to </w:t>
      </w:r>
      <w:r>
        <w:rPr>
          <w:sz w:val="24"/>
          <w:szCs w:val="24"/>
        </w:rPr>
        <w:t xml:space="preserve">USGS or </w:t>
      </w:r>
      <w:r w:rsidRPr="00BD4DB1">
        <w:rPr>
          <w:sz w:val="24"/>
          <w:szCs w:val="24"/>
        </w:rPr>
        <w:t xml:space="preserve">ALS Laboratory Group. Not all samples collected were analyzed. Samples were collected at the surface. </w:t>
      </w:r>
      <w:r w:rsidR="0031075E">
        <w:rPr>
          <w:sz w:val="24"/>
          <w:szCs w:val="24"/>
        </w:rPr>
        <w:t>A s</w:t>
      </w:r>
      <w:r w:rsidRPr="00BD4DB1">
        <w:rPr>
          <w:sz w:val="24"/>
          <w:szCs w:val="24"/>
        </w:rPr>
        <w:t>ummary of procedures is</w:t>
      </w:r>
      <w:r w:rsidR="0031075E">
        <w:rPr>
          <w:sz w:val="24"/>
          <w:szCs w:val="24"/>
        </w:rPr>
        <w:t xml:space="preserve"> found</w:t>
      </w:r>
      <w:r w:rsidRPr="00BD4DB1">
        <w:rPr>
          <w:sz w:val="24"/>
          <w:szCs w:val="24"/>
        </w:rPr>
        <w:t xml:space="preserve"> in the main report.</w:t>
      </w:r>
    </w:p>
    <w:p w14:paraId="4F65A536" w14:textId="4CA79AFD" w:rsidR="00F30CED" w:rsidRPr="000705D0" w:rsidRDefault="00F30CED" w:rsidP="000705D0">
      <w:pPr>
        <w:ind w:firstLine="720"/>
        <w:rPr>
          <w:sz w:val="24"/>
          <w:szCs w:val="24"/>
        </w:rPr>
      </w:pPr>
      <w:r w:rsidRPr="000705D0">
        <w:rPr>
          <w:sz w:val="24"/>
          <w:szCs w:val="24"/>
        </w:rPr>
        <w:t>Major elements are determined in rocks by </w:t>
      </w:r>
      <w:r w:rsidR="0031075E">
        <w:rPr>
          <w:sz w:val="24"/>
          <w:szCs w:val="24"/>
        </w:rPr>
        <w:t>w</w:t>
      </w:r>
      <w:r w:rsidRPr="000705D0">
        <w:rPr>
          <w:sz w:val="24"/>
          <w:szCs w:val="24"/>
        </w:rPr>
        <w:t>avelength </w:t>
      </w:r>
      <w:r w:rsidR="0031075E">
        <w:rPr>
          <w:sz w:val="24"/>
          <w:szCs w:val="24"/>
        </w:rPr>
        <w:t>d</w:t>
      </w:r>
      <w:r w:rsidRPr="000705D0">
        <w:rPr>
          <w:sz w:val="24"/>
          <w:szCs w:val="24"/>
        </w:rPr>
        <w:t>ispersive X-</w:t>
      </w:r>
      <w:r w:rsidR="0031075E">
        <w:rPr>
          <w:sz w:val="24"/>
          <w:szCs w:val="24"/>
        </w:rPr>
        <w:t>r</w:t>
      </w:r>
      <w:r w:rsidRPr="000705D0">
        <w:rPr>
          <w:sz w:val="24"/>
          <w:szCs w:val="24"/>
        </w:rPr>
        <w:t>ay </w:t>
      </w:r>
      <w:r w:rsidR="0031075E">
        <w:rPr>
          <w:sz w:val="24"/>
          <w:szCs w:val="24"/>
        </w:rPr>
        <w:t>f</w:t>
      </w:r>
      <w:r w:rsidRPr="000705D0">
        <w:rPr>
          <w:sz w:val="24"/>
          <w:szCs w:val="24"/>
        </w:rPr>
        <w:t>luorescence (WDXRF</w:t>
      </w:r>
      <w:r w:rsidR="000705D0" w:rsidRPr="000705D0">
        <w:rPr>
          <w:sz w:val="24"/>
          <w:szCs w:val="24"/>
        </w:rPr>
        <w:t xml:space="preserve"> or XFR</w:t>
      </w:r>
      <w:r w:rsidRPr="000705D0">
        <w:rPr>
          <w:sz w:val="24"/>
          <w:szCs w:val="24"/>
        </w:rPr>
        <w:t>). The sample is fused with lithium metaborate/lithium tetraborate flux and the result</w:t>
      </w:r>
      <w:r w:rsidR="0031075E">
        <w:rPr>
          <w:sz w:val="24"/>
          <w:szCs w:val="24"/>
        </w:rPr>
        <w:t>ing</w:t>
      </w:r>
      <w:r w:rsidRPr="000705D0">
        <w:rPr>
          <w:sz w:val="24"/>
          <w:szCs w:val="24"/>
        </w:rPr>
        <w:t xml:space="preserve"> glass disk is introduced into the WDXRF and irradiated by an </w:t>
      </w:r>
      <w:r w:rsidR="0031075E">
        <w:rPr>
          <w:sz w:val="24"/>
          <w:szCs w:val="24"/>
        </w:rPr>
        <w:t>X</w:t>
      </w:r>
      <w:r w:rsidRPr="000705D0">
        <w:rPr>
          <w:sz w:val="24"/>
          <w:szCs w:val="24"/>
        </w:rPr>
        <w:t>-ray tube.</w:t>
      </w:r>
      <w:r w:rsidR="0031075E">
        <w:rPr>
          <w:sz w:val="24"/>
          <w:szCs w:val="24"/>
        </w:rPr>
        <w:t xml:space="preserve"> Loss on ignition</w:t>
      </w:r>
      <w:r w:rsidR="001C096C">
        <w:rPr>
          <w:sz w:val="24"/>
          <w:szCs w:val="24"/>
        </w:rPr>
        <w:t xml:space="preserve"> (</w:t>
      </w:r>
      <w:r w:rsidR="0031075E">
        <w:rPr>
          <w:sz w:val="24"/>
          <w:szCs w:val="24"/>
        </w:rPr>
        <w:t>LOI</w:t>
      </w:r>
      <w:r w:rsidR="001C096C">
        <w:rPr>
          <w:sz w:val="24"/>
          <w:szCs w:val="24"/>
        </w:rPr>
        <w:t>) is measured by gravimetric methods.</w:t>
      </w:r>
    </w:p>
    <w:p w14:paraId="097FEF0C" w14:textId="4F84BA9E" w:rsidR="00F30CED" w:rsidRPr="000705D0" w:rsidRDefault="000705D0" w:rsidP="000705D0">
      <w:pPr>
        <w:ind w:firstLine="720"/>
        <w:rPr>
          <w:sz w:val="24"/>
          <w:szCs w:val="24"/>
        </w:rPr>
      </w:pPr>
      <w:r w:rsidRPr="000705D0">
        <w:rPr>
          <w:sz w:val="24"/>
          <w:szCs w:val="24"/>
        </w:rPr>
        <w:t>Trace</w:t>
      </w:r>
      <w:r w:rsidR="00F30CED" w:rsidRPr="000705D0">
        <w:rPr>
          <w:sz w:val="24"/>
          <w:szCs w:val="24"/>
        </w:rPr>
        <w:t xml:space="preserve"> elements are determined in rocks, minerals</w:t>
      </w:r>
      <w:r w:rsidR="0031075E">
        <w:rPr>
          <w:sz w:val="24"/>
          <w:szCs w:val="24"/>
        </w:rPr>
        <w:t>,</w:t>
      </w:r>
      <w:r w:rsidR="00F30CED" w:rsidRPr="000705D0">
        <w:rPr>
          <w:sz w:val="24"/>
          <w:szCs w:val="24"/>
        </w:rPr>
        <w:t xml:space="preserve"> and soils</w:t>
      </w:r>
      <w:r>
        <w:rPr>
          <w:sz w:val="24"/>
          <w:szCs w:val="24"/>
        </w:rPr>
        <w:t xml:space="preserve"> after they </w:t>
      </w:r>
      <w:r w:rsidR="00F30CED" w:rsidRPr="000705D0">
        <w:rPr>
          <w:sz w:val="24"/>
          <w:szCs w:val="24"/>
        </w:rPr>
        <w:t xml:space="preserve">are fused at 750°C with sodium peroxide and the fusion cake dissolved in a dilute nitric acid. The resulting solution is analyzed by ICP-OES </w:t>
      </w:r>
      <w:r w:rsidR="0031075E">
        <w:rPr>
          <w:sz w:val="24"/>
          <w:szCs w:val="24"/>
        </w:rPr>
        <w:t>and/or</w:t>
      </w:r>
      <w:r w:rsidR="0031075E" w:rsidRPr="000705D0">
        <w:rPr>
          <w:sz w:val="24"/>
          <w:szCs w:val="24"/>
        </w:rPr>
        <w:t xml:space="preserve"> </w:t>
      </w:r>
      <w:r w:rsidR="00F30CED" w:rsidRPr="000705D0">
        <w:rPr>
          <w:sz w:val="24"/>
          <w:szCs w:val="24"/>
        </w:rPr>
        <w:t>ICP-MS</w:t>
      </w:r>
      <w:r w:rsidR="0031075E">
        <w:rPr>
          <w:sz w:val="24"/>
          <w:szCs w:val="24"/>
        </w:rPr>
        <w:t>.</w:t>
      </w:r>
    </w:p>
    <w:p w14:paraId="0C025E74" w14:textId="77777777" w:rsidR="00D95F39" w:rsidRDefault="00D95F39" w:rsidP="00F30CED">
      <w:pPr>
        <w:pStyle w:val="Heading2"/>
        <w:rPr>
          <w:sz w:val="24"/>
          <w:szCs w:val="24"/>
        </w:rPr>
      </w:pPr>
      <w:bookmarkStart w:id="5" w:name="_Toc225781873"/>
      <w:bookmarkEnd w:id="4"/>
    </w:p>
    <w:p w14:paraId="51EE395E" w14:textId="77777777" w:rsidR="00F30CED" w:rsidRPr="00D622A3" w:rsidRDefault="00F30CED" w:rsidP="00F30CED">
      <w:pPr>
        <w:pStyle w:val="Heading2"/>
        <w:rPr>
          <w:bCs/>
          <w:sz w:val="24"/>
          <w:szCs w:val="24"/>
        </w:rPr>
      </w:pPr>
      <w:r w:rsidRPr="00D622A3">
        <w:rPr>
          <w:sz w:val="24"/>
          <w:szCs w:val="24"/>
        </w:rPr>
        <w:t>X-ray fluorescence (</w:t>
      </w:r>
      <w:r w:rsidRPr="00D622A3">
        <w:rPr>
          <w:bCs/>
          <w:sz w:val="24"/>
          <w:szCs w:val="24"/>
        </w:rPr>
        <w:t>XRF) Analyses</w:t>
      </w:r>
      <w:bookmarkEnd w:id="5"/>
    </w:p>
    <w:p w14:paraId="3B1BB1F3" w14:textId="3CC36340" w:rsidR="00F141D9" w:rsidRDefault="00F30CED" w:rsidP="00F30CED">
      <w:pPr>
        <w:tabs>
          <w:tab w:val="left" w:pos="720"/>
          <w:tab w:val="left" w:pos="1440"/>
          <w:tab w:val="left" w:pos="2160"/>
        </w:tabs>
        <w:jc w:val="both"/>
        <w:rPr>
          <w:sz w:val="24"/>
          <w:szCs w:val="24"/>
        </w:rPr>
      </w:pPr>
      <w:r w:rsidRPr="00923862">
        <w:rPr>
          <w:sz w:val="24"/>
          <w:szCs w:val="24"/>
        </w:rPr>
        <w:tab/>
      </w:r>
      <w:r>
        <w:rPr>
          <w:sz w:val="24"/>
          <w:szCs w:val="24"/>
        </w:rPr>
        <w:t>The sum of m</w:t>
      </w:r>
      <w:r w:rsidRPr="00923862">
        <w:rPr>
          <w:sz w:val="24"/>
          <w:szCs w:val="24"/>
        </w:rPr>
        <w:t xml:space="preserve">ajor oxides </w:t>
      </w:r>
      <w:r>
        <w:rPr>
          <w:sz w:val="24"/>
          <w:szCs w:val="24"/>
        </w:rPr>
        <w:t>(including SO</w:t>
      </w:r>
      <w:r w:rsidRPr="000705D0">
        <w:rPr>
          <w:sz w:val="24"/>
          <w:szCs w:val="24"/>
          <w:vertAlign w:val="subscript"/>
        </w:rPr>
        <w:t>3</w:t>
      </w:r>
      <w:r>
        <w:rPr>
          <w:sz w:val="24"/>
          <w:szCs w:val="24"/>
        </w:rPr>
        <w:t xml:space="preserve">) </w:t>
      </w:r>
      <w:r w:rsidR="00F141D9">
        <w:rPr>
          <w:sz w:val="24"/>
          <w:szCs w:val="24"/>
        </w:rPr>
        <w:t xml:space="preserve">should </w:t>
      </w:r>
      <w:r w:rsidRPr="00923862">
        <w:rPr>
          <w:sz w:val="24"/>
          <w:szCs w:val="24"/>
        </w:rPr>
        <w:t>total between 98 and 101%</w:t>
      </w:r>
      <w:r>
        <w:rPr>
          <w:sz w:val="24"/>
          <w:szCs w:val="24"/>
        </w:rPr>
        <w:t xml:space="preserve"> (</w:t>
      </w:r>
      <w:r w:rsidR="00F141D9">
        <w:rPr>
          <w:sz w:val="24"/>
          <w:szCs w:val="24"/>
        </w:rPr>
        <w:t>Appendix 3</w:t>
      </w:r>
      <w:r>
        <w:rPr>
          <w:sz w:val="24"/>
          <w:szCs w:val="24"/>
        </w:rPr>
        <w:t>)</w:t>
      </w:r>
      <w:r w:rsidR="00F141D9">
        <w:rPr>
          <w:sz w:val="24"/>
          <w:szCs w:val="24"/>
        </w:rPr>
        <w:t>, however, many samples have lower or higher totals</w:t>
      </w:r>
      <w:r w:rsidRPr="00923862">
        <w:rPr>
          <w:sz w:val="24"/>
          <w:szCs w:val="24"/>
        </w:rPr>
        <w:t xml:space="preserve">. </w:t>
      </w:r>
      <w:r w:rsidR="00F141D9">
        <w:rPr>
          <w:sz w:val="24"/>
          <w:szCs w:val="24"/>
        </w:rPr>
        <w:t xml:space="preserve">Extreme totals are found mostly in mineralized samples, especially samples with high F, Ba, Pb, or Cu. </w:t>
      </w:r>
    </w:p>
    <w:p w14:paraId="30869936" w14:textId="77777777" w:rsidR="00F30CED" w:rsidRPr="00923862" w:rsidRDefault="00F141D9" w:rsidP="00F141D9">
      <w:pPr>
        <w:tabs>
          <w:tab w:val="left" w:pos="720"/>
          <w:tab w:val="left" w:pos="1440"/>
          <w:tab w:val="left" w:pos="2160"/>
        </w:tabs>
        <w:rPr>
          <w:sz w:val="24"/>
          <w:szCs w:val="24"/>
        </w:rPr>
      </w:pPr>
      <w:r>
        <w:rPr>
          <w:sz w:val="24"/>
          <w:szCs w:val="24"/>
        </w:rPr>
        <w:tab/>
      </w:r>
      <w:r w:rsidR="00F30CED" w:rsidRPr="00923862">
        <w:rPr>
          <w:sz w:val="24"/>
          <w:szCs w:val="24"/>
        </w:rPr>
        <w:t xml:space="preserve">The precision of analyses is acceptable </w:t>
      </w:r>
      <w:r w:rsidR="00F30CED">
        <w:rPr>
          <w:sz w:val="24"/>
          <w:szCs w:val="24"/>
        </w:rPr>
        <w:t xml:space="preserve">(within 10%) </w:t>
      </w:r>
      <w:r w:rsidR="00F30CED" w:rsidRPr="00923862">
        <w:rPr>
          <w:sz w:val="24"/>
          <w:szCs w:val="24"/>
        </w:rPr>
        <w:t xml:space="preserve">for samples where multiple analyses of the same sample were obtained (Table </w:t>
      </w:r>
      <w:r>
        <w:rPr>
          <w:sz w:val="24"/>
          <w:szCs w:val="24"/>
        </w:rPr>
        <w:t>5-2</w:t>
      </w:r>
      <w:r w:rsidR="00F30CED" w:rsidRPr="00923862">
        <w:rPr>
          <w:sz w:val="24"/>
          <w:szCs w:val="24"/>
        </w:rPr>
        <w:t>). For every 10 samples submitted, a duplicate sample was analyzed</w:t>
      </w:r>
      <w:r w:rsidR="0031075E">
        <w:rPr>
          <w:sz w:val="24"/>
          <w:szCs w:val="24"/>
        </w:rPr>
        <w:t>,</w:t>
      </w:r>
      <w:r w:rsidR="00F30CED" w:rsidRPr="00923862">
        <w:rPr>
          <w:sz w:val="24"/>
          <w:szCs w:val="24"/>
        </w:rPr>
        <w:t xml:space="preserve"> and for every 20 samples submitted</w:t>
      </w:r>
      <w:r w:rsidR="0031075E">
        <w:rPr>
          <w:sz w:val="24"/>
          <w:szCs w:val="24"/>
        </w:rPr>
        <w:t>,</w:t>
      </w:r>
      <w:r w:rsidR="00F30CED" w:rsidRPr="00923862">
        <w:rPr>
          <w:sz w:val="24"/>
          <w:szCs w:val="24"/>
        </w:rPr>
        <w:t xml:space="preserve"> triplicate samples were analyzed; these analyses compared </w:t>
      </w:r>
      <w:r w:rsidR="00F30CED">
        <w:rPr>
          <w:sz w:val="24"/>
          <w:szCs w:val="24"/>
        </w:rPr>
        <w:t>within 10%</w:t>
      </w:r>
      <w:r w:rsidR="00F30CED" w:rsidRPr="00923862">
        <w:rPr>
          <w:sz w:val="24"/>
          <w:szCs w:val="24"/>
        </w:rPr>
        <w:t xml:space="preserve"> (</w:t>
      </w:r>
      <w:r w:rsidR="00F30CED">
        <w:rPr>
          <w:sz w:val="24"/>
          <w:szCs w:val="24"/>
        </w:rPr>
        <w:t>see project database for additional data</w:t>
      </w:r>
      <w:r w:rsidR="00F30CED" w:rsidRPr="00923862">
        <w:rPr>
          <w:sz w:val="24"/>
          <w:szCs w:val="24"/>
        </w:rPr>
        <w:t>).</w:t>
      </w:r>
    </w:p>
    <w:p w14:paraId="36B06F9B" w14:textId="5C062040" w:rsidR="00F30CED" w:rsidRPr="00923862" w:rsidRDefault="00F30CED" w:rsidP="00F141D9">
      <w:pPr>
        <w:tabs>
          <w:tab w:val="left" w:pos="720"/>
          <w:tab w:val="left" w:pos="1440"/>
          <w:tab w:val="left" w:pos="2160"/>
        </w:tabs>
        <w:rPr>
          <w:sz w:val="24"/>
          <w:szCs w:val="24"/>
        </w:rPr>
      </w:pPr>
      <w:r w:rsidRPr="00923862">
        <w:rPr>
          <w:sz w:val="24"/>
          <w:szCs w:val="24"/>
        </w:rPr>
        <w:tab/>
        <w:t>There are numerous reasons why duplicate samples and</w:t>
      </w:r>
      <w:r w:rsidR="0031075E">
        <w:rPr>
          <w:sz w:val="24"/>
          <w:szCs w:val="24"/>
        </w:rPr>
        <w:t xml:space="preserve"> </w:t>
      </w:r>
      <w:r w:rsidRPr="00923862">
        <w:rPr>
          <w:sz w:val="24"/>
          <w:szCs w:val="24"/>
        </w:rPr>
        <w:t xml:space="preserve">standards do not always </w:t>
      </w:r>
      <w:r w:rsidR="0031075E">
        <w:rPr>
          <w:sz w:val="24"/>
          <w:szCs w:val="24"/>
        </w:rPr>
        <w:t xml:space="preserve">reproduce </w:t>
      </w:r>
      <w:r w:rsidR="00C54E80">
        <w:rPr>
          <w:sz w:val="24"/>
          <w:szCs w:val="24"/>
        </w:rPr>
        <w:t>precisely</w:t>
      </w:r>
      <w:r w:rsidRPr="00923862">
        <w:rPr>
          <w:sz w:val="24"/>
          <w:szCs w:val="24"/>
        </w:rPr>
        <w:t xml:space="preserve">. Some samples, such as rhyolite and basalt, grind into </w:t>
      </w:r>
      <w:r w:rsidR="009C17F9">
        <w:rPr>
          <w:sz w:val="24"/>
          <w:szCs w:val="24"/>
        </w:rPr>
        <w:t xml:space="preserve">a </w:t>
      </w:r>
      <w:r w:rsidRPr="00923862">
        <w:rPr>
          <w:sz w:val="24"/>
          <w:szCs w:val="24"/>
        </w:rPr>
        <w:t>powder more easily than other samples, such as stream-sediment samples and nepheline syenites. Fusion techniques required for XRF analyses vary from lab to lab</w:t>
      </w:r>
      <w:r>
        <w:rPr>
          <w:sz w:val="24"/>
          <w:szCs w:val="24"/>
        </w:rPr>
        <w:t xml:space="preserve"> </w:t>
      </w:r>
      <w:r w:rsidRPr="00923862">
        <w:rPr>
          <w:sz w:val="24"/>
          <w:szCs w:val="24"/>
        </w:rPr>
        <w:t xml:space="preserve">and also can differ between different personnel that could result in variations between sample pairs. Analytical error is higher for analyses with concentrations close to the detection limit. In addition, </w:t>
      </w:r>
      <w:r w:rsidR="00F141D9">
        <w:rPr>
          <w:sz w:val="24"/>
          <w:szCs w:val="24"/>
        </w:rPr>
        <w:t>dump</w:t>
      </w:r>
      <w:r w:rsidRPr="00923862">
        <w:rPr>
          <w:sz w:val="24"/>
          <w:szCs w:val="24"/>
        </w:rPr>
        <w:t xml:space="preserve"> samples and alluvium are very heterogeneous and difficult to completely homogenize. Most variations between duplicate samples are probably a result of sample </w:t>
      </w:r>
      <w:r w:rsidR="00F141D9">
        <w:rPr>
          <w:sz w:val="24"/>
          <w:szCs w:val="24"/>
        </w:rPr>
        <w:t>inhomogeneities</w:t>
      </w:r>
      <w:r w:rsidRPr="00923862">
        <w:rPr>
          <w:sz w:val="24"/>
          <w:szCs w:val="24"/>
        </w:rPr>
        <w:t xml:space="preserve"> and analytical errors related to low concentrations. Another problem encountered with </w:t>
      </w:r>
      <w:r w:rsidR="00F141D9">
        <w:rPr>
          <w:sz w:val="24"/>
          <w:szCs w:val="24"/>
        </w:rPr>
        <w:t>dump</w:t>
      </w:r>
      <w:r w:rsidRPr="00923862">
        <w:rPr>
          <w:sz w:val="24"/>
          <w:szCs w:val="24"/>
        </w:rPr>
        <w:t xml:space="preserve"> samples is the variability of sample collection.  </w:t>
      </w:r>
    </w:p>
    <w:p w14:paraId="312EB60B" w14:textId="72101788" w:rsidR="001C096C" w:rsidRDefault="001C096C" w:rsidP="001C096C">
      <w:pPr>
        <w:pStyle w:val="h1"/>
        <w:spacing w:after="0"/>
        <w:jc w:val="center"/>
        <w:rPr>
          <w:rFonts w:ascii="Times New Roman" w:hAnsi="Times New Roman"/>
          <w:bCs/>
          <w:sz w:val="24"/>
          <w:szCs w:val="24"/>
        </w:rPr>
      </w:pPr>
    </w:p>
    <w:p w14:paraId="680A8FAC" w14:textId="6E63A5E7" w:rsidR="001C096C" w:rsidRPr="00923862" w:rsidRDefault="001C096C" w:rsidP="001C096C">
      <w:pPr>
        <w:pStyle w:val="h1"/>
        <w:spacing w:after="0"/>
        <w:jc w:val="center"/>
        <w:rPr>
          <w:rFonts w:ascii="Times New Roman" w:hAnsi="Times New Roman"/>
          <w:bCs/>
          <w:sz w:val="24"/>
          <w:szCs w:val="24"/>
        </w:rPr>
      </w:pPr>
      <w:r w:rsidRPr="00923862">
        <w:rPr>
          <w:rFonts w:ascii="Times New Roman" w:hAnsi="Times New Roman"/>
          <w:bCs/>
          <w:sz w:val="24"/>
          <w:szCs w:val="24"/>
        </w:rPr>
        <w:t>ACCURACY AND PRECISION OF ROCK CHEMISTRY DATA (SOLIDS)</w:t>
      </w:r>
    </w:p>
    <w:p w14:paraId="7836A4DA" w14:textId="7614EA33" w:rsidR="001C096C" w:rsidRPr="00923862" w:rsidRDefault="001C096C" w:rsidP="001C096C">
      <w:pPr>
        <w:tabs>
          <w:tab w:val="left" w:pos="720"/>
          <w:tab w:val="left" w:pos="1440"/>
          <w:tab w:val="left" w:pos="2160"/>
        </w:tabs>
        <w:rPr>
          <w:sz w:val="24"/>
          <w:szCs w:val="24"/>
        </w:rPr>
      </w:pPr>
      <w:r w:rsidRPr="00923862">
        <w:rPr>
          <w:sz w:val="24"/>
          <w:szCs w:val="24"/>
        </w:rPr>
        <w:tab/>
        <w:t>The accuracy of the data is how close the measured value is to the true</w:t>
      </w:r>
      <w:r w:rsidR="009C17F9">
        <w:rPr>
          <w:sz w:val="24"/>
          <w:szCs w:val="24"/>
        </w:rPr>
        <w:t xml:space="preserve"> or accepted</w:t>
      </w:r>
      <w:r w:rsidRPr="00923862">
        <w:rPr>
          <w:sz w:val="24"/>
          <w:szCs w:val="24"/>
        </w:rPr>
        <w:t xml:space="preserve"> value. Analyzing certified standards </w:t>
      </w:r>
      <w:r w:rsidR="009C17F9">
        <w:rPr>
          <w:sz w:val="24"/>
          <w:szCs w:val="24"/>
        </w:rPr>
        <w:t>as</w:t>
      </w:r>
      <w:r w:rsidRPr="00923862">
        <w:rPr>
          <w:sz w:val="24"/>
          <w:szCs w:val="24"/>
        </w:rPr>
        <w:t xml:space="preserve"> unknown samples and comparing </w:t>
      </w:r>
      <w:r w:rsidR="009C17F9">
        <w:rPr>
          <w:sz w:val="24"/>
          <w:szCs w:val="24"/>
        </w:rPr>
        <w:t xml:space="preserve">these values </w:t>
      </w:r>
      <w:r w:rsidRPr="00923862">
        <w:rPr>
          <w:sz w:val="24"/>
          <w:szCs w:val="24"/>
        </w:rPr>
        <w:t xml:space="preserve">with certified values </w:t>
      </w:r>
      <w:r w:rsidR="009C17F9">
        <w:rPr>
          <w:sz w:val="24"/>
          <w:szCs w:val="24"/>
        </w:rPr>
        <w:t>can monitor</w:t>
      </w:r>
      <w:r w:rsidR="009C17F9" w:rsidRPr="00923862">
        <w:rPr>
          <w:sz w:val="24"/>
          <w:szCs w:val="24"/>
        </w:rPr>
        <w:t xml:space="preserve"> </w:t>
      </w:r>
      <w:r w:rsidRPr="00923862">
        <w:rPr>
          <w:sz w:val="24"/>
          <w:szCs w:val="24"/>
        </w:rPr>
        <w:t>accuracy. Each laboratory is responsible for the accuracy</w:t>
      </w:r>
      <w:r w:rsidR="009C17F9">
        <w:rPr>
          <w:sz w:val="24"/>
          <w:szCs w:val="24"/>
        </w:rPr>
        <w:t xml:space="preserve"> of the data they produce,</w:t>
      </w:r>
      <w:r w:rsidRPr="00923862">
        <w:rPr>
          <w:sz w:val="24"/>
          <w:szCs w:val="24"/>
        </w:rPr>
        <w:t xml:space="preserve"> and </w:t>
      </w:r>
      <w:r w:rsidR="009C17F9">
        <w:rPr>
          <w:sz w:val="24"/>
          <w:szCs w:val="24"/>
        </w:rPr>
        <w:t>the laboratory’s QA/QC protocols are</w:t>
      </w:r>
      <w:r w:rsidRPr="00923862">
        <w:rPr>
          <w:sz w:val="24"/>
          <w:szCs w:val="24"/>
        </w:rPr>
        <w:t xml:space="preserve"> available upon request </w:t>
      </w:r>
      <w:r>
        <w:rPr>
          <w:sz w:val="24"/>
          <w:szCs w:val="24"/>
        </w:rPr>
        <w:t>from the project manager</w:t>
      </w:r>
      <w:r w:rsidRPr="00923862">
        <w:rPr>
          <w:sz w:val="24"/>
          <w:szCs w:val="24"/>
        </w:rPr>
        <w:t>. Precision is the degree of agreement among repeated measurements of the same characteristic and monitored by multiple analyses of many sample duplicates and internal standards. It can be determined by calculating the standard deviation, or relative percent difference, among samples taken from the same place at the same time (i.e. duplicates and triplicates). In general, analyses obtained from the laboratories are in agreement with certified values of certified standards and precision is excellent between multiple analyses</w:t>
      </w:r>
      <w:r>
        <w:rPr>
          <w:sz w:val="24"/>
          <w:szCs w:val="24"/>
        </w:rPr>
        <w:t xml:space="preserve"> (see documentation in sections below)</w:t>
      </w:r>
      <w:r w:rsidRPr="00923862">
        <w:rPr>
          <w:sz w:val="24"/>
          <w:szCs w:val="24"/>
        </w:rPr>
        <w:t xml:space="preserve">. </w:t>
      </w:r>
    </w:p>
    <w:p w14:paraId="635F4A8F" w14:textId="4A57131A" w:rsidR="001C096C" w:rsidRPr="00923862" w:rsidRDefault="001C096C" w:rsidP="001C096C">
      <w:pPr>
        <w:tabs>
          <w:tab w:val="left" w:pos="720"/>
          <w:tab w:val="left" w:pos="1440"/>
          <w:tab w:val="left" w:pos="2160"/>
        </w:tabs>
        <w:rPr>
          <w:sz w:val="24"/>
          <w:szCs w:val="24"/>
        </w:rPr>
      </w:pPr>
      <w:r w:rsidRPr="00923862">
        <w:rPr>
          <w:sz w:val="24"/>
          <w:szCs w:val="24"/>
        </w:rPr>
        <w:lastRenderedPageBreak/>
        <w:tab/>
        <w:t xml:space="preserve">However, differences between certified standards and duplicate pairs do exist. </w:t>
      </w:r>
      <w:r>
        <w:rPr>
          <w:sz w:val="24"/>
          <w:szCs w:val="24"/>
        </w:rPr>
        <w:t xml:space="preserve">Generally, no corrective procedures could be applied to solid samples. </w:t>
      </w:r>
      <w:r w:rsidRPr="00923862">
        <w:rPr>
          <w:sz w:val="24"/>
          <w:szCs w:val="24"/>
        </w:rPr>
        <w:t xml:space="preserve">Variation in preparation of the </w:t>
      </w:r>
      <w:r w:rsidR="00C54E80">
        <w:rPr>
          <w:sz w:val="24"/>
          <w:szCs w:val="24"/>
        </w:rPr>
        <w:t>glass disk</w:t>
      </w:r>
      <w:r w:rsidR="00C54E80" w:rsidRPr="00923862">
        <w:rPr>
          <w:sz w:val="24"/>
          <w:szCs w:val="24"/>
        </w:rPr>
        <w:t xml:space="preserve"> </w:t>
      </w:r>
      <w:r w:rsidRPr="00923862">
        <w:rPr>
          <w:sz w:val="24"/>
          <w:szCs w:val="24"/>
        </w:rPr>
        <w:t>used in the analysis is a major cause of these differences (Johnson et al., 1999). Nugget effects can account for variations in copper (Cu), iron (Fe), lead (Pb), sulfur (S), zinc (Zn), and zirconium (Zr), observed in some pairs of samples. A</w:t>
      </w:r>
      <w:r w:rsidR="009C17F9">
        <w:rPr>
          <w:sz w:val="24"/>
          <w:szCs w:val="24"/>
        </w:rPr>
        <w:t>n example of the</w:t>
      </w:r>
      <w:r w:rsidRPr="00923862">
        <w:rPr>
          <w:sz w:val="24"/>
          <w:szCs w:val="24"/>
        </w:rPr>
        <w:t xml:space="preserve"> nugget effect is where a small grain of native gold or other mineral occurs in one split and not the other split and</w:t>
      </w:r>
      <w:r w:rsidR="009C17F9">
        <w:rPr>
          <w:sz w:val="24"/>
          <w:szCs w:val="24"/>
        </w:rPr>
        <w:t xml:space="preserve"> thus</w:t>
      </w:r>
      <w:r w:rsidRPr="00923862">
        <w:rPr>
          <w:sz w:val="24"/>
          <w:szCs w:val="24"/>
        </w:rPr>
        <w:t xml:space="preserve"> produces a higher concentration. Another variation between certified values and the results provided by the laboratories is a result of different analytical techniques. ICP requires acid digestion and analys</w:t>
      </w:r>
      <w:r w:rsidR="009C17F9">
        <w:rPr>
          <w:sz w:val="24"/>
          <w:szCs w:val="24"/>
        </w:rPr>
        <w:t>i</w:t>
      </w:r>
      <w:r w:rsidRPr="00923862">
        <w:rPr>
          <w:sz w:val="24"/>
          <w:szCs w:val="24"/>
        </w:rPr>
        <w:t>s of a liquid-</w:t>
      </w:r>
      <w:r w:rsidR="009C17F9" w:rsidRPr="00923862">
        <w:rPr>
          <w:sz w:val="24"/>
          <w:szCs w:val="24"/>
        </w:rPr>
        <w:t>based</w:t>
      </w:r>
      <w:r w:rsidRPr="00923862">
        <w:rPr>
          <w:sz w:val="24"/>
          <w:szCs w:val="24"/>
        </w:rPr>
        <w:t xml:space="preserve"> solution. In some cases, not all of the solid will be completely digested and </w:t>
      </w:r>
      <w:r>
        <w:rPr>
          <w:sz w:val="24"/>
          <w:szCs w:val="24"/>
        </w:rPr>
        <w:t>can</w:t>
      </w:r>
      <w:r w:rsidRPr="00923862">
        <w:rPr>
          <w:sz w:val="24"/>
          <w:szCs w:val="24"/>
        </w:rPr>
        <w:t xml:space="preserve"> result in a lower value than that obtained by certified values </w:t>
      </w:r>
      <w:r w:rsidR="009C17F9">
        <w:rPr>
          <w:sz w:val="24"/>
          <w:szCs w:val="24"/>
        </w:rPr>
        <w:t xml:space="preserve">generated using </w:t>
      </w:r>
      <w:r w:rsidRPr="00923862">
        <w:rPr>
          <w:sz w:val="24"/>
          <w:szCs w:val="24"/>
        </w:rPr>
        <w:t>XRF or instrumental neutron activation analysis (IN</w:t>
      </w:r>
      <w:r>
        <w:rPr>
          <w:sz w:val="24"/>
          <w:szCs w:val="24"/>
        </w:rPr>
        <w:t>A</w:t>
      </w:r>
      <w:r w:rsidRPr="00923862">
        <w:rPr>
          <w:sz w:val="24"/>
          <w:szCs w:val="24"/>
        </w:rPr>
        <w:t xml:space="preserve">A). </w:t>
      </w:r>
    </w:p>
    <w:p w14:paraId="59BC4A75" w14:textId="77777777" w:rsidR="00BD4DB1" w:rsidRPr="00BD4DB1" w:rsidRDefault="00BD4DB1" w:rsidP="00BD4DB1">
      <w:pPr>
        <w:autoSpaceDE w:val="0"/>
        <w:autoSpaceDN w:val="0"/>
        <w:adjustRightInd w:val="0"/>
        <w:ind w:firstLine="720"/>
        <w:rPr>
          <w:sz w:val="24"/>
          <w:szCs w:val="24"/>
        </w:rPr>
      </w:pPr>
      <w:r w:rsidRPr="00BD4DB1">
        <w:rPr>
          <w:sz w:val="24"/>
          <w:szCs w:val="24"/>
        </w:rPr>
        <w:t xml:space="preserve">The sum of major oxides should total between 99 and 101% (Appendix </w:t>
      </w:r>
      <w:r>
        <w:rPr>
          <w:sz w:val="24"/>
          <w:szCs w:val="24"/>
        </w:rPr>
        <w:t>3</w:t>
      </w:r>
      <w:r w:rsidRPr="00BD4DB1">
        <w:rPr>
          <w:sz w:val="24"/>
          <w:szCs w:val="24"/>
        </w:rPr>
        <w:t>). Samples of NMBGMR on-going standards were analyzed for most batches and the difference between analyses is acceptable, within 10% (Table A</w:t>
      </w:r>
      <w:r>
        <w:rPr>
          <w:sz w:val="24"/>
          <w:szCs w:val="24"/>
        </w:rPr>
        <w:t>5</w:t>
      </w:r>
      <w:r w:rsidRPr="00BD4DB1">
        <w:rPr>
          <w:sz w:val="24"/>
          <w:szCs w:val="24"/>
        </w:rPr>
        <w:t>-1). The precision of analyses is acceptable (within 10%) for samples where multiple analyses of the same sample were obtained (Table A</w:t>
      </w:r>
      <w:r>
        <w:rPr>
          <w:sz w:val="24"/>
          <w:szCs w:val="24"/>
        </w:rPr>
        <w:t>5</w:t>
      </w:r>
      <w:r w:rsidRPr="00BD4DB1">
        <w:rPr>
          <w:sz w:val="24"/>
          <w:szCs w:val="24"/>
        </w:rPr>
        <w:t>-1). For every 10 samples submitted, a duplicate sample was analyzed; these analyses compared within 10%.</w:t>
      </w:r>
    </w:p>
    <w:p w14:paraId="250DD6CE" w14:textId="77777777" w:rsidR="001C096C" w:rsidRPr="00BD4DB1" w:rsidRDefault="001C096C" w:rsidP="001C096C">
      <w:pPr>
        <w:tabs>
          <w:tab w:val="left" w:pos="720"/>
          <w:tab w:val="left" w:pos="1440"/>
          <w:tab w:val="left" w:pos="2160"/>
        </w:tabs>
        <w:jc w:val="both"/>
        <w:rPr>
          <w:sz w:val="24"/>
          <w:szCs w:val="24"/>
        </w:rPr>
      </w:pPr>
    </w:p>
    <w:p w14:paraId="1EF674F4" w14:textId="77777777" w:rsidR="00F30CED" w:rsidRPr="00923862" w:rsidRDefault="008C1E72" w:rsidP="008C1E72">
      <w:pPr>
        <w:pStyle w:val="h1"/>
        <w:spacing w:after="0"/>
        <w:jc w:val="center"/>
        <w:rPr>
          <w:rFonts w:ascii="Times New Roman" w:hAnsi="Times New Roman"/>
          <w:bCs/>
          <w:sz w:val="24"/>
          <w:szCs w:val="24"/>
        </w:rPr>
      </w:pPr>
      <w:bookmarkStart w:id="6" w:name="_Toc225781881"/>
      <w:r>
        <w:rPr>
          <w:rFonts w:ascii="Times New Roman" w:hAnsi="Times New Roman"/>
          <w:bCs/>
          <w:sz w:val="24"/>
          <w:szCs w:val="24"/>
        </w:rPr>
        <w:t>SUMMARY</w:t>
      </w:r>
      <w:bookmarkEnd w:id="6"/>
    </w:p>
    <w:p w14:paraId="6FF17F7E" w14:textId="04451142" w:rsidR="00F30CED" w:rsidRPr="000E3AD0" w:rsidRDefault="00F30CED" w:rsidP="008C1E72">
      <w:pPr>
        <w:tabs>
          <w:tab w:val="left" w:pos="720"/>
          <w:tab w:val="left" w:pos="1440"/>
          <w:tab w:val="left" w:pos="2160"/>
        </w:tabs>
        <w:rPr>
          <w:sz w:val="24"/>
          <w:szCs w:val="24"/>
        </w:rPr>
      </w:pPr>
      <w:r>
        <w:rPr>
          <w:sz w:val="24"/>
          <w:szCs w:val="24"/>
        </w:rPr>
        <w:tab/>
      </w:r>
      <w:r w:rsidRPr="00923862">
        <w:rPr>
          <w:sz w:val="24"/>
          <w:szCs w:val="24"/>
        </w:rPr>
        <w:t>Samples were collected</w:t>
      </w:r>
      <w:r w:rsidRPr="00BD4DB1">
        <w:rPr>
          <w:sz w:val="24"/>
          <w:szCs w:val="24"/>
        </w:rPr>
        <w:t xml:space="preserve">, prepared, and analyzed according to standard methods for each specific laboratory analysis. </w:t>
      </w:r>
      <w:r w:rsidR="00BD4DB1" w:rsidRPr="00BD4DB1">
        <w:rPr>
          <w:sz w:val="24"/>
          <w:szCs w:val="24"/>
        </w:rPr>
        <w:t xml:space="preserve">Samples are archived at the NMBGMR. </w:t>
      </w:r>
      <w:r w:rsidRPr="00BD4DB1">
        <w:rPr>
          <w:sz w:val="24"/>
          <w:szCs w:val="24"/>
        </w:rPr>
        <w:t>Samples</w:t>
      </w:r>
      <w:r w:rsidRPr="00923862">
        <w:rPr>
          <w:sz w:val="24"/>
          <w:szCs w:val="24"/>
        </w:rPr>
        <w:t xml:space="preserve"> collected are complete, comparable, and representative of the defined population at the defined scale. Precision and accuracy are measured differently for each field and laboratory analysis (parameter</w:t>
      </w:r>
      <w:r w:rsidR="008C1E72">
        <w:rPr>
          <w:sz w:val="24"/>
          <w:szCs w:val="24"/>
        </w:rPr>
        <w:t>)</w:t>
      </w:r>
      <w:r w:rsidRPr="00923862">
        <w:rPr>
          <w:sz w:val="24"/>
          <w:szCs w:val="24"/>
        </w:rPr>
        <w:t xml:space="preserve">. Most </w:t>
      </w:r>
      <w:r>
        <w:rPr>
          <w:sz w:val="24"/>
          <w:szCs w:val="24"/>
        </w:rPr>
        <w:t xml:space="preserve">geochemical </w:t>
      </w:r>
      <w:r w:rsidRPr="00923862">
        <w:rPr>
          <w:sz w:val="24"/>
          <w:szCs w:val="24"/>
        </w:rPr>
        <w:t xml:space="preserve">laboratory analyses depend upon certified reference standards and duplicate </w:t>
      </w:r>
      <w:r w:rsidR="0087475D">
        <w:rPr>
          <w:sz w:val="24"/>
          <w:szCs w:val="24"/>
        </w:rPr>
        <w:t>or</w:t>
      </w:r>
      <w:r w:rsidR="0087475D" w:rsidRPr="00923862">
        <w:rPr>
          <w:sz w:val="24"/>
          <w:szCs w:val="24"/>
        </w:rPr>
        <w:t xml:space="preserve"> </w:t>
      </w:r>
      <w:r w:rsidRPr="00923862">
        <w:rPr>
          <w:sz w:val="24"/>
          <w:szCs w:val="24"/>
        </w:rPr>
        <w:t>triplicate analyses.</w:t>
      </w:r>
      <w:r>
        <w:rPr>
          <w:sz w:val="24"/>
          <w:szCs w:val="24"/>
        </w:rPr>
        <w:t xml:space="preserve"> </w:t>
      </w:r>
      <w:r w:rsidR="0087475D">
        <w:rPr>
          <w:sz w:val="24"/>
          <w:szCs w:val="24"/>
        </w:rPr>
        <w:t>Effective s</w:t>
      </w:r>
      <w:r w:rsidRPr="00923862">
        <w:rPr>
          <w:sz w:val="24"/>
          <w:szCs w:val="24"/>
        </w:rPr>
        <w:t xml:space="preserve">ampling and analysis </w:t>
      </w:r>
      <w:r w:rsidR="0087475D">
        <w:rPr>
          <w:sz w:val="24"/>
          <w:szCs w:val="24"/>
        </w:rPr>
        <w:t xml:space="preserve">helps </w:t>
      </w:r>
      <w:r w:rsidRPr="00923862">
        <w:rPr>
          <w:sz w:val="24"/>
          <w:szCs w:val="24"/>
        </w:rPr>
        <w:t>plan the field program and the control of accuracy and precision</w:t>
      </w:r>
      <w:r w:rsidR="0087475D">
        <w:rPr>
          <w:sz w:val="24"/>
          <w:szCs w:val="24"/>
        </w:rPr>
        <w:t>. This</w:t>
      </w:r>
      <w:r w:rsidRPr="00923862">
        <w:rPr>
          <w:sz w:val="24"/>
          <w:szCs w:val="24"/>
        </w:rPr>
        <w:t xml:space="preserve"> provides a large</w:t>
      </w:r>
      <w:r w:rsidR="0087475D">
        <w:rPr>
          <w:sz w:val="24"/>
          <w:szCs w:val="24"/>
        </w:rPr>
        <w:t>,</w:t>
      </w:r>
      <w:r w:rsidRPr="00923862">
        <w:rPr>
          <w:sz w:val="24"/>
          <w:szCs w:val="24"/>
        </w:rPr>
        <w:t xml:space="preserve"> high-quality set of observations and measurements that are adequate to support the interpretations and conclusions of th</w:t>
      </w:r>
      <w:r w:rsidR="000E3AD0">
        <w:rPr>
          <w:sz w:val="24"/>
          <w:szCs w:val="24"/>
        </w:rPr>
        <w:t>is</w:t>
      </w:r>
      <w:r w:rsidRPr="00923862">
        <w:rPr>
          <w:sz w:val="24"/>
          <w:szCs w:val="24"/>
        </w:rPr>
        <w:t xml:space="preserve"> </w:t>
      </w:r>
      <w:r w:rsidR="000E3AD0">
        <w:rPr>
          <w:sz w:val="24"/>
          <w:szCs w:val="24"/>
        </w:rPr>
        <w:t>report</w:t>
      </w:r>
      <w:r w:rsidRPr="00923862">
        <w:rPr>
          <w:sz w:val="24"/>
          <w:szCs w:val="24"/>
        </w:rPr>
        <w:t>.</w:t>
      </w:r>
      <w:r w:rsidR="000E3AD0" w:rsidRPr="000E3AD0">
        <w:rPr>
          <w:szCs w:val="24"/>
        </w:rPr>
        <w:t xml:space="preserve"> </w:t>
      </w:r>
      <w:r w:rsidR="000E3AD0" w:rsidRPr="000E3AD0">
        <w:rPr>
          <w:sz w:val="24"/>
          <w:szCs w:val="24"/>
        </w:rPr>
        <w:t>Field and laboratory audits by the senior author were performed to ensure that procedures were followed.</w:t>
      </w:r>
    </w:p>
    <w:p w14:paraId="1EB4F039" w14:textId="77777777" w:rsidR="00F30CED" w:rsidRPr="00923862" w:rsidRDefault="00F30CED" w:rsidP="00F30CED">
      <w:pPr>
        <w:jc w:val="both"/>
      </w:pPr>
    </w:p>
    <w:p w14:paraId="1E708078" w14:textId="77777777" w:rsidR="0087475D" w:rsidRDefault="0087475D" w:rsidP="00F30CED">
      <w:pPr>
        <w:pStyle w:val="h1"/>
        <w:spacing w:after="0"/>
        <w:jc w:val="center"/>
        <w:rPr>
          <w:rFonts w:ascii="Times New Roman" w:hAnsi="Times New Roman"/>
          <w:bCs/>
          <w:sz w:val="24"/>
          <w:szCs w:val="24"/>
        </w:rPr>
      </w:pPr>
      <w:bookmarkStart w:id="7" w:name="_Toc225781882"/>
    </w:p>
    <w:p w14:paraId="5CFD3330" w14:textId="77777777" w:rsidR="00F30CED" w:rsidRPr="00923862" w:rsidRDefault="00F30CED" w:rsidP="00F30CED">
      <w:pPr>
        <w:pStyle w:val="h1"/>
        <w:spacing w:after="0"/>
        <w:jc w:val="center"/>
        <w:rPr>
          <w:rFonts w:ascii="Times New Roman" w:hAnsi="Times New Roman"/>
          <w:bCs/>
          <w:sz w:val="24"/>
          <w:szCs w:val="24"/>
        </w:rPr>
      </w:pPr>
      <w:r w:rsidRPr="00923862">
        <w:rPr>
          <w:rFonts w:ascii="Times New Roman" w:hAnsi="Times New Roman"/>
          <w:bCs/>
          <w:sz w:val="24"/>
          <w:szCs w:val="24"/>
        </w:rPr>
        <w:t>REFERENCES</w:t>
      </w:r>
      <w:bookmarkEnd w:id="7"/>
      <w:r>
        <w:rPr>
          <w:rFonts w:ascii="Times New Roman" w:hAnsi="Times New Roman"/>
          <w:bCs/>
          <w:sz w:val="24"/>
          <w:szCs w:val="24"/>
        </w:rPr>
        <w:t xml:space="preserve"> </w:t>
      </w:r>
    </w:p>
    <w:p w14:paraId="78A1B018" w14:textId="77777777" w:rsidR="00F30CED" w:rsidRPr="00AD5D53" w:rsidRDefault="00F30CED" w:rsidP="00F30CED">
      <w:pPr>
        <w:pStyle w:val="BodyText"/>
        <w:tabs>
          <w:tab w:val="clear" w:pos="-720"/>
        </w:tabs>
        <w:suppressAutoHyphens w:val="0"/>
        <w:spacing w:after="0"/>
        <w:ind w:left="720" w:hanging="720"/>
        <w:jc w:val="both"/>
        <w:rPr>
          <w:bCs/>
          <w:spacing w:val="0"/>
          <w:szCs w:val="24"/>
        </w:rPr>
      </w:pPr>
      <w:r w:rsidRPr="00AD5D53">
        <w:rPr>
          <w:bCs/>
          <w:spacing w:val="0"/>
          <w:szCs w:val="24"/>
        </w:rPr>
        <w:t>Briggs, P.H., 2001</w:t>
      </w:r>
      <w:r>
        <w:rPr>
          <w:bCs/>
          <w:spacing w:val="0"/>
          <w:szCs w:val="24"/>
        </w:rPr>
        <w:t>,</w:t>
      </w:r>
      <w:r w:rsidRPr="00AD5D53">
        <w:rPr>
          <w:bCs/>
          <w:spacing w:val="0"/>
          <w:szCs w:val="24"/>
        </w:rPr>
        <w:t xml:space="preserve"> The Determination of Forty Elements in Geological and Botanical Samples by Inductively Coupled Plasma-Atomic Emission Spectrometry, U.S. Geological Survey Open File Report 02-223-G, Analytical Methods for Chemical Analysis of Geologic and Other Materials, U.S. Geological Survey.</w:t>
      </w:r>
    </w:p>
    <w:p w14:paraId="6DED8BFE" w14:textId="77777777" w:rsidR="00F30CED" w:rsidRPr="00AD5D53" w:rsidRDefault="00F30CED" w:rsidP="00F30CED">
      <w:pPr>
        <w:ind w:left="720" w:hanging="720"/>
        <w:jc w:val="both"/>
        <w:rPr>
          <w:sz w:val="24"/>
          <w:szCs w:val="24"/>
        </w:rPr>
      </w:pPr>
      <w:r w:rsidRPr="00AD5D53">
        <w:rPr>
          <w:sz w:val="24"/>
          <w:szCs w:val="24"/>
        </w:rPr>
        <w:t>Davis, B., 1998, What is a sample? What does it represent? Australian Institute of Geoscientists Bulletin, v. 22, p. 39-34.</w:t>
      </w:r>
    </w:p>
    <w:p w14:paraId="4D20721A" w14:textId="77777777" w:rsidR="00F30CED" w:rsidRPr="00AD5D53" w:rsidRDefault="00F30CED" w:rsidP="00F30CED">
      <w:pPr>
        <w:ind w:left="720" w:hanging="720"/>
        <w:jc w:val="both"/>
        <w:rPr>
          <w:sz w:val="24"/>
          <w:szCs w:val="24"/>
        </w:rPr>
      </w:pPr>
      <w:r w:rsidRPr="00AD5D53">
        <w:rPr>
          <w:sz w:val="24"/>
          <w:szCs w:val="24"/>
        </w:rPr>
        <w:t>Rollinson, H.R., 1993, Using geochemical data: evaluation, presentation, interpretation: Longman Scientific and Technical, John Wiley and Sons, New York, 352 p.</w:t>
      </w:r>
    </w:p>
    <w:sectPr w:rsidR="00F30CED" w:rsidRPr="00AD5D53" w:rsidSect="00FC6657">
      <w:footerReference w:type="even" r:id="rId13"/>
      <w:footerReference w:type="default" r:id="rId14"/>
      <w:pgSz w:w="12240" w:h="15840"/>
      <w:pgMar w:top="1440" w:right="1800" w:bottom="1440" w:left="1800" w:header="720" w:footer="720" w:gutter="0"/>
      <w:pgNumType w:start="30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6B26" w14:textId="77777777" w:rsidR="001A67BF" w:rsidRDefault="001A67BF">
      <w:r>
        <w:separator/>
      </w:r>
    </w:p>
  </w:endnote>
  <w:endnote w:type="continuationSeparator" w:id="0">
    <w:p w14:paraId="37FD7E80" w14:textId="77777777" w:rsidR="001A67BF" w:rsidRDefault="001A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1">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B445" w14:textId="77777777" w:rsidR="00BD4DB1" w:rsidRDefault="00BD4DB1" w:rsidP="00533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4BC77" w14:textId="77777777" w:rsidR="00BD4DB1" w:rsidRDefault="00BD4DB1" w:rsidP="003624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0073"/>
      <w:docPartObj>
        <w:docPartGallery w:val="Page Numbers (Bottom of Page)"/>
        <w:docPartUnique/>
      </w:docPartObj>
    </w:sdtPr>
    <w:sdtEndPr>
      <w:rPr>
        <w:noProof/>
      </w:rPr>
    </w:sdtEndPr>
    <w:sdtContent>
      <w:p w14:paraId="7B5D5285" w14:textId="76B90083" w:rsidR="00C54E80" w:rsidRDefault="00C54E80">
        <w:pPr>
          <w:pStyle w:val="Footer"/>
          <w:jc w:val="right"/>
        </w:pPr>
        <w:r>
          <w:t>1</w:t>
        </w:r>
      </w:p>
    </w:sdtContent>
  </w:sdt>
  <w:p w14:paraId="404018F4" w14:textId="77777777" w:rsidR="00BD4DB1" w:rsidRDefault="00BD4D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3E4E6" w14:textId="77777777" w:rsidR="001A67BF" w:rsidRDefault="001A67BF">
      <w:r>
        <w:separator/>
      </w:r>
    </w:p>
  </w:footnote>
  <w:footnote w:type="continuationSeparator" w:id="0">
    <w:p w14:paraId="70CFDEB1" w14:textId="77777777" w:rsidR="001A67BF" w:rsidRDefault="001A67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463"/>
    <w:multiLevelType w:val="hybridMultilevel"/>
    <w:tmpl w:val="06008A2A"/>
    <w:lvl w:ilvl="0" w:tplc="020ABA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E5F"/>
    <w:multiLevelType w:val="hybridMultilevel"/>
    <w:tmpl w:val="EA5A2C3C"/>
    <w:lvl w:ilvl="0" w:tplc="C6A05B0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B74DB0"/>
    <w:multiLevelType w:val="hybridMultilevel"/>
    <w:tmpl w:val="C82CD494"/>
    <w:lvl w:ilvl="0" w:tplc="A35CB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E6DF2"/>
    <w:multiLevelType w:val="hybridMultilevel"/>
    <w:tmpl w:val="F9888B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56A0D"/>
    <w:multiLevelType w:val="hybridMultilevel"/>
    <w:tmpl w:val="9FFAE652"/>
    <w:lvl w:ilvl="0" w:tplc="BBAAFFA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03021"/>
    <w:multiLevelType w:val="hybridMultilevel"/>
    <w:tmpl w:val="1D12A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743BB"/>
    <w:multiLevelType w:val="hybridMultilevel"/>
    <w:tmpl w:val="09E4D0E2"/>
    <w:lvl w:ilvl="0" w:tplc="64187A80">
      <w:start w:val="1"/>
      <w:numFmt w:val="bullet"/>
      <w:lvlText w:val="•"/>
      <w:lvlJc w:val="left"/>
      <w:pPr>
        <w:ind w:left="720" w:hanging="360"/>
      </w:pPr>
      <w:rPr>
        <w:rFonts w:ascii="Arial" w:hAnsi="Arial" w:hint="default"/>
      </w:rPr>
    </w:lvl>
    <w:lvl w:ilvl="1" w:tplc="A924492C">
      <w:numFmt w:val="bullet"/>
      <w:lvlText w:val="•"/>
      <w:lvlJc w:val="left"/>
      <w:pPr>
        <w:ind w:left="72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FEA"/>
    <w:multiLevelType w:val="hybridMultilevel"/>
    <w:tmpl w:val="6A363470"/>
    <w:lvl w:ilvl="0" w:tplc="85AEFF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F3C93"/>
    <w:multiLevelType w:val="hybridMultilevel"/>
    <w:tmpl w:val="8E1E83CE"/>
    <w:lvl w:ilvl="0" w:tplc="F76479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B26424"/>
    <w:multiLevelType w:val="hybridMultilevel"/>
    <w:tmpl w:val="1E66887A"/>
    <w:lvl w:ilvl="0" w:tplc="020ABA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15A55"/>
    <w:multiLevelType w:val="multilevel"/>
    <w:tmpl w:val="4E90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30FFF"/>
    <w:multiLevelType w:val="hybridMultilevel"/>
    <w:tmpl w:val="C4A69A58"/>
    <w:lvl w:ilvl="0" w:tplc="85AEFF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7A046B"/>
    <w:multiLevelType w:val="hybridMultilevel"/>
    <w:tmpl w:val="FB3E4614"/>
    <w:lvl w:ilvl="0" w:tplc="04090001">
      <w:start w:val="1"/>
      <w:numFmt w:val="bullet"/>
      <w:lvlText w:val=""/>
      <w:lvlJc w:val="left"/>
      <w:pPr>
        <w:tabs>
          <w:tab w:val="num" w:pos="1068"/>
        </w:tabs>
        <w:ind w:left="1068" w:hanging="360"/>
      </w:pPr>
      <w:rPr>
        <w:rFonts w:ascii="Symbol" w:hAnsi="Symbol" w:hint="default"/>
      </w:rPr>
    </w:lvl>
    <w:lvl w:ilvl="1" w:tplc="E17864F8" w:tentative="1">
      <w:start w:val="1"/>
      <w:numFmt w:val="bullet"/>
      <w:lvlText w:val=""/>
      <w:lvlJc w:val="left"/>
      <w:pPr>
        <w:tabs>
          <w:tab w:val="num" w:pos="1788"/>
        </w:tabs>
        <w:ind w:left="1788" w:hanging="360"/>
      </w:pPr>
      <w:rPr>
        <w:rFonts w:ascii="Wingdings" w:hAnsi="Wingdings" w:hint="default"/>
      </w:rPr>
    </w:lvl>
    <w:lvl w:ilvl="2" w:tplc="F3606DCC" w:tentative="1">
      <w:start w:val="1"/>
      <w:numFmt w:val="bullet"/>
      <w:lvlText w:val=""/>
      <w:lvlJc w:val="left"/>
      <w:pPr>
        <w:tabs>
          <w:tab w:val="num" w:pos="2508"/>
        </w:tabs>
        <w:ind w:left="2508" w:hanging="360"/>
      </w:pPr>
      <w:rPr>
        <w:rFonts w:ascii="Wingdings" w:hAnsi="Wingdings" w:hint="default"/>
      </w:rPr>
    </w:lvl>
    <w:lvl w:ilvl="3" w:tplc="C4D0E2B4" w:tentative="1">
      <w:start w:val="1"/>
      <w:numFmt w:val="bullet"/>
      <w:lvlText w:val=""/>
      <w:lvlJc w:val="left"/>
      <w:pPr>
        <w:tabs>
          <w:tab w:val="num" w:pos="3228"/>
        </w:tabs>
        <w:ind w:left="3228" w:hanging="360"/>
      </w:pPr>
      <w:rPr>
        <w:rFonts w:ascii="Wingdings" w:hAnsi="Wingdings" w:hint="default"/>
      </w:rPr>
    </w:lvl>
    <w:lvl w:ilvl="4" w:tplc="8FB824E8" w:tentative="1">
      <w:start w:val="1"/>
      <w:numFmt w:val="bullet"/>
      <w:lvlText w:val=""/>
      <w:lvlJc w:val="left"/>
      <w:pPr>
        <w:tabs>
          <w:tab w:val="num" w:pos="3948"/>
        </w:tabs>
        <w:ind w:left="3948" w:hanging="360"/>
      </w:pPr>
      <w:rPr>
        <w:rFonts w:ascii="Wingdings" w:hAnsi="Wingdings" w:hint="default"/>
      </w:rPr>
    </w:lvl>
    <w:lvl w:ilvl="5" w:tplc="4A3AF106" w:tentative="1">
      <w:start w:val="1"/>
      <w:numFmt w:val="bullet"/>
      <w:lvlText w:val=""/>
      <w:lvlJc w:val="left"/>
      <w:pPr>
        <w:tabs>
          <w:tab w:val="num" w:pos="4668"/>
        </w:tabs>
        <w:ind w:left="4668" w:hanging="360"/>
      </w:pPr>
      <w:rPr>
        <w:rFonts w:ascii="Wingdings" w:hAnsi="Wingdings" w:hint="default"/>
      </w:rPr>
    </w:lvl>
    <w:lvl w:ilvl="6" w:tplc="06A8DACA" w:tentative="1">
      <w:start w:val="1"/>
      <w:numFmt w:val="bullet"/>
      <w:lvlText w:val=""/>
      <w:lvlJc w:val="left"/>
      <w:pPr>
        <w:tabs>
          <w:tab w:val="num" w:pos="5388"/>
        </w:tabs>
        <w:ind w:left="5388" w:hanging="360"/>
      </w:pPr>
      <w:rPr>
        <w:rFonts w:ascii="Wingdings" w:hAnsi="Wingdings" w:hint="default"/>
      </w:rPr>
    </w:lvl>
    <w:lvl w:ilvl="7" w:tplc="0C380D4C" w:tentative="1">
      <w:start w:val="1"/>
      <w:numFmt w:val="bullet"/>
      <w:lvlText w:val=""/>
      <w:lvlJc w:val="left"/>
      <w:pPr>
        <w:tabs>
          <w:tab w:val="num" w:pos="6108"/>
        </w:tabs>
        <w:ind w:left="6108" w:hanging="360"/>
      </w:pPr>
      <w:rPr>
        <w:rFonts w:ascii="Wingdings" w:hAnsi="Wingdings" w:hint="default"/>
      </w:rPr>
    </w:lvl>
    <w:lvl w:ilvl="8" w:tplc="974CEA5C"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C387C3D"/>
    <w:multiLevelType w:val="hybridMultilevel"/>
    <w:tmpl w:val="EF8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73ECC"/>
    <w:multiLevelType w:val="hybridMultilevel"/>
    <w:tmpl w:val="3D3C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90AF4"/>
    <w:multiLevelType w:val="hybridMultilevel"/>
    <w:tmpl w:val="EEA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D308E"/>
    <w:multiLevelType w:val="hybridMultilevel"/>
    <w:tmpl w:val="297E4B6A"/>
    <w:lvl w:ilvl="0" w:tplc="04090001">
      <w:start w:val="1"/>
      <w:numFmt w:val="bullet"/>
      <w:lvlText w:val=""/>
      <w:lvlJc w:val="left"/>
      <w:pPr>
        <w:tabs>
          <w:tab w:val="num" w:pos="1068"/>
        </w:tabs>
        <w:ind w:left="1068" w:hanging="360"/>
      </w:pPr>
      <w:rPr>
        <w:rFonts w:ascii="Symbol" w:hAnsi="Symbol" w:hint="default"/>
      </w:rPr>
    </w:lvl>
    <w:lvl w:ilvl="1" w:tplc="9BC8B48A" w:tentative="1">
      <w:start w:val="1"/>
      <w:numFmt w:val="bullet"/>
      <w:lvlText w:val=""/>
      <w:lvlJc w:val="left"/>
      <w:pPr>
        <w:tabs>
          <w:tab w:val="num" w:pos="1788"/>
        </w:tabs>
        <w:ind w:left="1788" w:hanging="360"/>
      </w:pPr>
      <w:rPr>
        <w:rFonts w:ascii="Wingdings" w:hAnsi="Wingdings" w:hint="default"/>
      </w:rPr>
    </w:lvl>
    <w:lvl w:ilvl="2" w:tplc="AEACA5FC" w:tentative="1">
      <w:start w:val="1"/>
      <w:numFmt w:val="bullet"/>
      <w:lvlText w:val=""/>
      <w:lvlJc w:val="left"/>
      <w:pPr>
        <w:tabs>
          <w:tab w:val="num" w:pos="2508"/>
        </w:tabs>
        <w:ind w:left="2508" w:hanging="360"/>
      </w:pPr>
      <w:rPr>
        <w:rFonts w:ascii="Wingdings" w:hAnsi="Wingdings" w:hint="default"/>
      </w:rPr>
    </w:lvl>
    <w:lvl w:ilvl="3" w:tplc="25708216" w:tentative="1">
      <w:start w:val="1"/>
      <w:numFmt w:val="bullet"/>
      <w:lvlText w:val=""/>
      <w:lvlJc w:val="left"/>
      <w:pPr>
        <w:tabs>
          <w:tab w:val="num" w:pos="3228"/>
        </w:tabs>
        <w:ind w:left="3228" w:hanging="360"/>
      </w:pPr>
      <w:rPr>
        <w:rFonts w:ascii="Wingdings" w:hAnsi="Wingdings" w:hint="default"/>
      </w:rPr>
    </w:lvl>
    <w:lvl w:ilvl="4" w:tplc="FC420700" w:tentative="1">
      <w:start w:val="1"/>
      <w:numFmt w:val="bullet"/>
      <w:lvlText w:val=""/>
      <w:lvlJc w:val="left"/>
      <w:pPr>
        <w:tabs>
          <w:tab w:val="num" w:pos="3948"/>
        </w:tabs>
        <w:ind w:left="3948" w:hanging="360"/>
      </w:pPr>
      <w:rPr>
        <w:rFonts w:ascii="Wingdings" w:hAnsi="Wingdings" w:hint="default"/>
      </w:rPr>
    </w:lvl>
    <w:lvl w:ilvl="5" w:tplc="DAA46C18" w:tentative="1">
      <w:start w:val="1"/>
      <w:numFmt w:val="bullet"/>
      <w:lvlText w:val=""/>
      <w:lvlJc w:val="left"/>
      <w:pPr>
        <w:tabs>
          <w:tab w:val="num" w:pos="4668"/>
        </w:tabs>
        <w:ind w:left="4668" w:hanging="360"/>
      </w:pPr>
      <w:rPr>
        <w:rFonts w:ascii="Wingdings" w:hAnsi="Wingdings" w:hint="default"/>
      </w:rPr>
    </w:lvl>
    <w:lvl w:ilvl="6" w:tplc="5BC6564E" w:tentative="1">
      <w:start w:val="1"/>
      <w:numFmt w:val="bullet"/>
      <w:lvlText w:val=""/>
      <w:lvlJc w:val="left"/>
      <w:pPr>
        <w:tabs>
          <w:tab w:val="num" w:pos="5388"/>
        </w:tabs>
        <w:ind w:left="5388" w:hanging="360"/>
      </w:pPr>
      <w:rPr>
        <w:rFonts w:ascii="Wingdings" w:hAnsi="Wingdings" w:hint="default"/>
      </w:rPr>
    </w:lvl>
    <w:lvl w:ilvl="7" w:tplc="5040377C" w:tentative="1">
      <w:start w:val="1"/>
      <w:numFmt w:val="bullet"/>
      <w:lvlText w:val=""/>
      <w:lvlJc w:val="left"/>
      <w:pPr>
        <w:tabs>
          <w:tab w:val="num" w:pos="6108"/>
        </w:tabs>
        <w:ind w:left="6108" w:hanging="360"/>
      </w:pPr>
      <w:rPr>
        <w:rFonts w:ascii="Wingdings" w:hAnsi="Wingdings" w:hint="default"/>
      </w:rPr>
    </w:lvl>
    <w:lvl w:ilvl="8" w:tplc="0F4C35B4"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3111BCE"/>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465330E0"/>
    <w:multiLevelType w:val="hybridMultilevel"/>
    <w:tmpl w:val="9A80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83822"/>
    <w:multiLevelType w:val="hybridMultilevel"/>
    <w:tmpl w:val="1F08B964"/>
    <w:lvl w:ilvl="0" w:tplc="B1CEB33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947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10551C"/>
    <w:multiLevelType w:val="multilevel"/>
    <w:tmpl w:val="CB8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53774"/>
    <w:multiLevelType w:val="singleLevel"/>
    <w:tmpl w:val="04090001"/>
    <w:lvl w:ilvl="0">
      <w:start w:val="1"/>
      <w:numFmt w:val="bullet"/>
      <w:lvlText w:val=""/>
      <w:lvlJc w:val="left"/>
      <w:pPr>
        <w:ind w:left="1080" w:hanging="360"/>
      </w:pPr>
      <w:rPr>
        <w:rFonts w:ascii="Symbol" w:hAnsi="Symbol" w:hint="default"/>
      </w:rPr>
    </w:lvl>
  </w:abstractNum>
  <w:abstractNum w:abstractNumId="23" w15:restartNumberingAfterBreak="0">
    <w:nsid w:val="74F777A4"/>
    <w:multiLevelType w:val="hybridMultilevel"/>
    <w:tmpl w:val="1F8E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C71FF"/>
    <w:multiLevelType w:val="hybridMultilevel"/>
    <w:tmpl w:val="3170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C7D6F"/>
    <w:multiLevelType w:val="hybridMultilevel"/>
    <w:tmpl w:val="2D0EF15C"/>
    <w:lvl w:ilvl="0" w:tplc="020ABA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01F7C"/>
    <w:multiLevelType w:val="hybridMultilevel"/>
    <w:tmpl w:val="FEB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E2448"/>
    <w:multiLevelType w:val="hybridMultilevel"/>
    <w:tmpl w:val="3A3EAC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D7FCD"/>
    <w:multiLevelType w:val="hybridMultilevel"/>
    <w:tmpl w:val="72D6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22"/>
  </w:num>
  <w:num w:numId="4">
    <w:abstractNumId w:val="7"/>
  </w:num>
  <w:num w:numId="5">
    <w:abstractNumId w:val="1"/>
  </w:num>
  <w:num w:numId="6">
    <w:abstractNumId w:val="4"/>
  </w:num>
  <w:num w:numId="7">
    <w:abstractNumId w:val="6"/>
  </w:num>
  <w:num w:numId="8">
    <w:abstractNumId w:val="0"/>
  </w:num>
  <w:num w:numId="9">
    <w:abstractNumId w:val="9"/>
  </w:num>
  <w:num w:numId="10">
    <w:abstractNumId w:val="25"/>
  </w:num>
  <w:num w:numId="11">
    <w:abstractNumId w:val="24"/>
  </w:num>
  <w:num w:numId="12">
    <w:abstractNumId w:val="18"/>
  </w:num>
  <w:num w:numId="13">
    <w:abstractNumId w:val="13"/>
  </w:num>
  <w:num w:numId="14">
    <w:abstractNumId w:val="27"/>
  </w:num>
  <w:num w:numId="15">
    <w:abstractNumId w:val="28"/>
  </w:num>
  <w:num w:numId="16">
    <w:abstractNumId w:val="20"/>
  </w:num>
  <w:num w:numId="17">
    <w:abstractNumId w:val="15"/>
  </w:num>
  <w:num w:numId="18">
    <w:abstractNumId w:val="21"/>
  </w:num>
  <w:num w:numId="19">
    <w:abstractNumId w:val="10"/>
  </w:num>
  <w:num w:numId="20">
    <w:abstractNumId w:val="23"/>
  </w:num>
  <w:num w:numId="21">
    <w:abstractNumId w:val="26"/>
  </w:num>
  <w:num w:numId="22">
    <w:abstractNumId w:val="5"/>
  </w:num>
  <w:num w:numId="23">
    <w:abstractNumId w:val="14"/>
  </w:num>
  <w:num w:numId="24">
    <w:abstractNumId w:val="12"/>
  </w:num>
  <w:num w:numId="25">
    <w:abstractNumId w:val="16"/>
  </w:num>
  <w:num w:numId="26">
    <w:abstractNumId w:val="8"/>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19"/>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8"/>
    <w:rsid w:val="00017F4C"/>
    <w:rsid w:val="000705D0"/>
    <w:rsid w:val="000E3AD0"/>
    <w:rsid w:val="0017336C"/>
    <w:rsid w:val="001A67BF"/>
    <w:rsid w:val="001B6CDC"/>
    <w:rsid w:val="001C096C"/>
    <w:rsid w:val="001E4F4C"/>
    <w:rsid w:val="0021660A"/>
    <w:rsid w:val="002F5453"/>
    <w:rsid w:val="00307F3B"/>
    <w:rsid w:val="0031075E"/>
    <w:rsid w:val="0033396D"/>
    <w:rsid w:val="0036243F"/>
    <w:rsid w:val="00400C0B"/>
    <w:rsid w:val="00447D55"/>
    <w:rsid w:val="00493511"/>
    <w:rsid w:val="004B58C6"/>
    <w:rsid w:val="00510E0E"/>
    <w:rsid w:val="00533309"/>
    <w:rsid w:val="00663A8B"/>
    <w:rsid w:val="00752FAE"/>
    <w:rsid w:val="0075523D"/>
    <w:rsid w:val="007C761A"/>
    <w:rsid w:val="00823667"/>
    <w:rsid w:val="00825940"/>
    <w:rsid w:val="008348B8"/>
    <w:rsid w:val="0087475D"/>
    <w:rsid w:val="008C1E72"/>
    <w:rsid w:val="009931F8"/>
    <w:rsid w:val="009C17F9"/>
    <w:rsid w:val="009E7D9C"/>
    <w:rsid w:val="00A628E8"/>
    <w:rsid w:val="00A9436E"/>
    <w:rsid w:val="00AA3A35"/>
    <w:rsid w:val="00AF099F"/>
    <w:rsid w:val="00AF3768"/>
    <w:rsid w:val="00BD4DB1"/>
    <w:rsid w:val="00C03F39"/>
    <w:rsid w:val="00C159C6"/>
    <w:rsid w:val="00C43597"/>
    <w:rsid w:val="00C54E80"/>
    <w:rsid w:val="00D027B0"/>
    <w:rsid w:val="00D75FAB"/>
    <w:rsid w:val="00D95F39"/>
    <w:rsid w:val="00F141D9"/>
    <w:rsid w:val="00F30CED"/>
    <w:rsid w:val="00F33AC4"/>
    <w:rsid w:val="00F61D86"/>
    <w:rsid w:val="00F9778F"/>
    <w:rsid w:val="00FC6657"/>
    <w:rsid w:val="00FE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6A972B7"/>
  <w15:chartTrackingRefBased/>
  <w15:docId w15:val="{EBA21D54-2F26-449D-8FD3-3FB63866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Title" w:uiPriority="10" w:qFormat="1"/>
    <w:lsdException w:name="Body Text" w:uiPriority="1" w:qFormat="1"/>
    <w:lsdException w:name="Body Text Indent" w:uiPriority="99"/>
    <w:lsdException w:name="Subtitle" w:uiPriority="11"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E8"/>
  </w:style>
  <w:style w:type="paragraph" w:styleId="Heading1">
    <w:name w:val="heading 1"/>
    <w:basedOn w:val="Normal"/>
    <w:next w:val="Normal"/>
    <w:link w:val="Heading1Char"/>
    <w:uiPriority w:val="9"/>
    <w:qFormat/>
    <w:rsid w:val="00F30C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30CED"/>
    <w:pPr>
      <w:keepNext/>
      <w:outlineLvl w:val="1"/>
    </w:pPr>
    <w:rPr>
      <w:b/>
    </w:rPr>
  </w:style>
  <w:style w:type="paragraph" w:styleId="Heading3">
    <w:name w:val="heading 3"/>
    <w:next w:val="Normal"/>
    <w:link w:val="Heading3Char"/>
    <w:uiPriority w:val="9"/>
    <w:unhideWhenUsed/>
    <w:qFormat/>
    <w:rsid w:val="00BD4DB1"/>
    <w:pPr>
      <w:keepNext/>
      <w:keepLines/>
      <w:spacing w:line="360" w:lineRule="auto"/>
      <w:outlineLvl w:val="2"/>
    </w:pPr>
    <w:rPr>
      <w:rFonts w:eastAsiaTheme="majorEastAsia" w:cstheme="majorBidi"/>
      <w:b/>
      <w:bCs/>
      <w:sz w:val="24"/>
      <w:szCs w:val="22"/>
    </w:rPr>
  </w:style>
  <w:style w:type="paragraph" w:styleId="Heading4">
    <w:name w:val="heading 4"/>
    <w:basedOn w:val="Normal"/>
    <w:next w:val="Normal"/>
    <w:link w:val="Heading4Char"/>
    <w:uiPriority w:val="9"/>
    <w:semiHidden/>
    <w:unhideWhenUsed/>
    <w:qFormat/>
    <w:rsid w:val="00BD4DB1"/>
    <w:pPr>
      <w:keepNext/>
      <w:keepLines/>
      <w:spacing w:before="40" w:line="276" w:lineRule="auto"/>
      <w:outlineLvl w:val="3"/>
    </w:pPr>
    <w:rPr>
      <w:rFonts w:asciiTheme="majorHAnsi" w:eastAsiaTheme="majorEastAsia" w:hAnsiTheme="majorHAnsi" w:cstheme="majorBidi"/>
      <w:color w:val="2E74B5" w:themeColor="accent1" w:themeShade="BF"/>
      <w:sz w:val="24"/>
      <w:szCs w:val="24"/>
      <w:lang w:eastAsia="es-ES"/>
    </w:rPr>
  </w:style>
  <w:style w:type="paragraph" w:styleId="Heading5">
    <w:name w:val="heading 5"/>
    <w:basedOn w:val="Normal"/>
    <w:next w:val="Normal"/>
    <w:link w:val="Heading5Char"/>
    <w:uiPriority w:val="9"/>
    <w:semiHidden/>
    <w:unhideWhenUsed/>
    <w:qFormat/>
    <w:rsid w:val="00BD4DB1"/>
    <w:pPr>
      <w:keepNext/>
      <w:keepLines/>
      <w:spacing w:before="40" w:line="276" w:lineRule="auto"/>
      <w:outlineLvl w:val="4"/>
    </w:pPr>
    <w:rPr>
      <w:rFonts w:asciiTheme="majorHAnsi" w:eastAsiaTheme="majorEastAsia" w:hAnsiTheme="majorHAnsi" w:cstheme="majorBidi"/>
      <w:caps/>
      <w:color w:val="2E74B5" w:themeColor="accent1" w:themeShade="BF"/>
      <w:sz w:val="24"/>
      <w:szCs w:val="22"/>
      <w:lang w:eastAsia="es-ES"/>
    </w:rPr>
  </w:style>
  <w:style w:type="paragraph" w:styleId="Heading6">
    <w:name w:val="heading 6"/>
    <w:basedOn w:val="Normal"/>
    <w:next w:val="Normal"/>
    <w:link w:val="Heading6Char"/>
    <w:uiPriority w:val="9"/>
    <w:semiHidden/>
    <w:unhideWhenUsed/>
    <w:qFormat/>
    <w:rsid w:val="00BD4DB1"/>
    <w:pPr>
      <w:keepNext/>
      <w:keepLines/>
      <w:spacing w:before="40" w:line="276" w:lineRule="auto"/>
      <w:outlineLvl w:val="5"/>
    </w:pPr>
    <w:rPr>
      <w:rFonts w:asciiTheme="majorHAnsi" w:eastAsiaTheme="majorEastAsia" w:hAnsiTheme="majorHAnsi" w:cstheme="majorBidi"/>
      <w:i/>
      <w:iCs/>
      <w:caps/>
      <w:color w:val="1F4E79" w:themeColor="accent1" w:themeShade="80"/>
      <w:sz w:val="24"/>
      <w:szCs w:val="22"/>
      <w:lang w:eastAsia="es-ES"/>
    </w:rPr>
  </w:style>
  <w:style w:type="paragraph" w:styleId="Heading7">
    <w:name w:val="heading 7"/>
    <w:basedOn w:val="Normal"/>
    <w:next w:val="Normal"/>
    <w:link w:val="Heading7Char"/>
    <w:uiPriority w:val="9"/>
    <w:semiHidden/>
    <w:unhideWhenUsed/>
    <w:qFormat/>
    <w:rsid w:val="00BD4DB1"/>
    <w:pPr>
      <w:keepNext/>
      <w:keepLines/>
      <w:spacing w:before="40" w:line="276" w:lineRule="auto"/>
      <w:outlineLvl w:val="6"/>
    </w:pPr>
    <w:rPr>
      <w:rFonts w:asciiTheme="majorHAnsi" w:eastAsiaTheme="majorEastAsia" w:hAnsiTheme="majorHAnsi" w:cstheme="majorBidi"/>
      <w:b/>
      <w:bCs/>
      <w:color w:val="1F4E79" w:themeColor="accent1" w:themeShade="80"/>
      <w:sz w:val="24"/>
      <w:szCs w:val="22"/>
      <w:lang w:eastAsia="es-ES"/>
    </w:rPr>
  </w:style>
  <w:style w:type="paragraph" w:styleId="Heading8">
    <w:name w:val="heading 8"/>
    <w:basedOn w:val="Normal"/>
    <w:next w:val="Normal"/>
    <w:link w:val="Heading8Char"/>
    <w:uiPriority w:val="9"/>
    <w:semiHidden/>
    <w:unhideWhenUsed/>
    <w:qFormat/>
    <w:rsid w:val="00BD4DB1"/>
    <w:pPr>
      <w:keepNext/>
      <w:keepLines/>
      <w:spacing w:before="40" w:line="276" w:lineRule="auto"/>
      <w:outlineLvl w:val="7"/>
    </w:pPr>
    <w:rPr>
      <w:rFonts w:asciiTheme="majorHAnsi" w:eastAsiaTheme="majorEastAsia" w:hAnsiTheme="majorHAnsi" w:cstheme="majorBidi"/>
      <w:b/>
      <w:bCs/>
      <w:i/>
      <w:iCs/>
      <w:color w:val="1F4E79" w:themeColor="accent1" w:themeShade="80"/>
      <w:sz w:val="24"/>
      <w:szCs w:val="22"/>
      <w:lang w:eastAsia="es-ES"/>
    </w:rPr>
  </w:style>
  <w:style w:type="paragraph" w:styleId="Heading9">
    <w:name w:val="heading 9"/>
    <w:basedOn w:val="Normal"/>
    <w:next w:val="Normal"/>
    <w:link w:val="Heading9Char"/>
    <w:uiPriority w:val="9"/>
    <w:semiHidden/>
    <w:unhideWhenUsed/>
    <w:qFormat/>
    <w:rsid w:val="00BD4DB1"/>
    <w:pPr>
      <w:keepNext/>
      <w:keepLines/>
      <w:spacing w:before="40" w:line="276" w:lineRule="auto"/>
      <w:outlineLvl w:val="8"/>
    </w:pPr>
    <w:rPr>
      <w:rFonts w:asciiTheme="majorHAnsi" w:eastAsiaTheme="majorEastAsia" w:hAnsiTheme="majorHAnsi" w:cstheme="majorBidi"/>
      <w:i/>
      <w:iCs/>
      <w:color w:val="1F4E79" w:themeColor="accent1" w:themeShade="80"/>
      <w:sz w:val="24"/>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0CED"/>
    <w:rPr>
      <w:b/>
    </w:rPr>
  </w:style>
  <w:style w:type="character" w:customStyle="1" w:styleId="Heading3Char">
    <w:name w:val="Heading 3 Char"/>
    <w:basedOn w:val="DefaultParagraphFont"/>
    <w:link w:val="Heading3"/>
    <w:uiPriority w:val="9"/>
    <w:rsid w:val="00BD4DB1"/>
    <w:rPr>
      <w:rFonts w:eastAsiaTheme="majorEastAsia" w:cstheme="majorBidi"/>
      <w:b/>
      <w:bCs/>
      <w:sz w:val="24"/>
      <w:szCs w:val="22"/>
    </w:rPr>
  </w:style>
  <w:style w:type="table" w:styleId="TableGrid">
    <w:name w:val="Table Grid"/>
    <w:basedOn w:val="TableNormal"/>
    <w:uiPriority w:val="59"/>
    <w:rsid w:val="00362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6243F"/>
    <w:pPr>
      <w:tabs>
        <w:tab w:val="center" w:pos="4320"/>
        <w:tab w:val="right" w:pos="8640"/>
      </w:tabs>
    </w:pPr>
  </w:style>
  <w:style w:type="character" w:customStyle="1" w:styleId="FooterChar">
    <w:name w:val="Footer Char"/>
    <w:basedOn w:val="DefaultParagraphFont"/>
    <w:link w:val="Footer"/>
    <w:uiPriority w:val="99"/>
    <w:rsid w:val="008C1E72"/>
  </w:style>
  <w:style w:type="character" w:styleId="PageNumber">
    <w:name w:val="page number"/>
    <w:basedOn w:val="DefaultParagraphFont"/>
    <w:rsid w:val="0036243F"/>
  </w:style>
  <w:style w:type="character" w:styleId="CommentReference">
    <w:name w:val="annotation reference"/>
    <w:basedOn w:val="DefaultParagraphFont"/>
    <w:uiPriority w:val="99"/>
    <w:semiHidden/>
    <w:rsid w:val="00C159C6"/>
    <w:rPr>
      <w:sz w:val="18"/>
    </w:rPr>
  </w:style>
  <w:style w:type="paragraph" w:styleId="CommentText">
    <w:name w:val="annotation text"/>
    <w:basedOn w:val="Normal"/>
    <w:link w:val="CommentTextChar"/>
    <w:uiPriority w:val="99"/>
    <w:semiHidden/>
    <w:rsid w:val="00C159C6"/>
    <w:rPr>
      <w:sz w:val="24"/>
      <w:szCs w:val="24"/>
    </w:rPr>
  </w:style>
  <w:style w:type="character" w:customStyle="1" w:styleId="CommentTextChar">
    <w:name w:val="Comment Text Char"/>
    <w:basedOn w:val="DefaultParagraphFont"/>
    <w:link w:val="CommentText"/>
    <w:uiPriority w:val="99"/>
    <w:semiHidden/>
    <w:rsid w:val="00BD4DB1"/>
    <w:rPr>
      <w:sz w:val="24"/>
      <w:szCs w:val="24"/>
    </w:rPr>
  </w:style>
  <w:style w:type="paragraph" w:styleId="BalloonText">
    <w:name w:val="Balloon Text"/>
    <w:basedOn w:val="Normal"/>
    <w:link w:val="BalloonTextChar"/>
    <w:uiPriority w:val="99"/>
    <w:semiHidden/>
    <w:rsid w:val="00C159C6"/>
    <w:rPr>
      <w:rFonts w:ascii="Tahoma" w:hAnsi="Tahoma" w:cs="Tahoma"/>
      <w:sz w:val="16"/>
      <w:szCs w:val="16"/>
    </w:rPr>
  </w:style>
  <w:style w:type="character" w:customStyle="1" w:styleId="BalloonTextChar">
    <w:name w:val="Balloon Text Char"/>
    <w:basedOn w:val="DefaultParagraphFont"/>
    <w:link w:val="BalloonText"/>
    <w:uiPriority w:val="99"/>
    <w:semiHidden/>
    <w:rsid w:val="00BD4DB1"/>
    <w:rPr>
      <w:rFonts w:ascii="Tahoma" w:hAnsi="Tahoma" w:cs="Tahoma"/>
      <w:sz w:val="16"/>
      <w:szCs w:val="16"/>
    </w:rPr>
  </w:style>
  <w:style w:type="paragraph" w:customStyle="1" w:styleId="table">
    <w:name w:val="table"/>
    <w:basedOn w:val="Normal"/>
    <w:next w:val="Normal"/>
    <w:link w:val="tableChar"/>
    <w:rsid w:val="00F30CED"/>
    <w:pPr>
      <w:jc w:val="both"/>
    </w:pPr>
    <w:rPr>
      <w:sz w:val="24"/>
    </w:rPr>
  </w:style>
  <w:style w:type="character" w:customStyle="1" w:styleId="tableChar">
    <w:name w:val="table Char"/>
    <w:basedOn w:val="DefaultParagraphFont"/>
    <w:link w:val="table"/>
    <w:rsid w:val="00F30CED"/>
    <w:rPr>
      <w:sz w:val="24"/>
    </w:rPr>
  </w:style>
  <w:style w:type="paragraph" w:customStyle="1" w:styleId="h1">
    <w:name w:val="h1"/>
    <w:basedOn w:val="Heading1"/>
    <w:rsid w:val="00F30CED"/>
    <w:pPr>
      <w:keepLines w:val="0"/>
      <w:tabs>
        <w:tab w:val="left" w:pos="0"/>
        <w:tab w:val="left" w:pos="720"/>
        <w:tab w:val="left" w:pos="1440"/>
        <w:tab w:val="right" w:leader="dot" w:pos="9360"/>
      </w:tabs>
      <w:suppressAutoHyphens/>
      <w:spacing w:before="0" w:after="240"/>
    </w:pPr>
    <w:rPr>
      <w:rFonts w:ascii="Arial Narrow" w:eastAsia="Times New Roman" w:hAnsi="Arial Narrow" w:cs="Times New Roman"/>
      <w:b/>
      <w:color w:val="auto"/>
      <w:spacing w:val="-3"/>
      <w:sz w:val="28"/>
      <w:szCs w:val="20"/>
    </w:rPr>
  </w:style>
  <w:style w:type="paragraph" w:customStyle="1" w:styleId="BodyText">
    <w:name w:val="BodyText"/>
    <w:basedOn w:val="Normal"/>
    <w:link w:val="BodyTextChar"/>
    <w:rsid w:val="00F30CED"/>
    <w:pPr>
      <w:tabs>
        <w:tab w:val="left" w:pos="-720"/>
      </w:tabs>
      <w:suppressAutoHyphens/>
      <w:spacing w:after="120"/>
    </w:pPr>
    <w:rPr>
      <w:spacing w:val="-3"/>
      <w:sz w:val="24"/>
    </w:rPr>
  </w:style>
  <w:style w:type="character" w:customStyle="1" w:styleId="BodyTextChar">
    <w:name w:val="BodyText Char"/>
    <w:basedOn w:val="DefaultParagraphFont"/>
    <w:link w:val="BodyText"/>
    <w:rsid w:val="00F30CED"/>
    <w:rPr>
      <w:spacing w:val="-3"/>
      <w:sz w:val="24"/>
    </w:rPr>
  </w:style>
  <w:style w:type="character" w:styleId="Hyperlink">
    <w:name w:val="Hyperlink"/>
    <w:basedOn w:val="DefaultParagraphFont"/>
    <w:uiPriority w:val="99"/>
    <w:rsid w:val="00F30CED"/>
    <w:rPr>
      <w:color w:val="0000FF"/>
      <w:u w:val="single"/>
    </w:rPr>
  </w:style>
  <w:style w:type="paragraph" w:customStyle="1" w:styleId="Default">
    <w:name w:val="Default"/>
    <w:rsid w:val="00F30CED"/>
    <w:pPr>
      <w:autoSpaceDE w:val="0"/>
      <w:autoSpaceDN w:val="0"/>
      <w:adjustRightInd w:val="0"/>
    </w:pPr>
    <w:rPr>
      <w:color w:val="000000"/>
      <w:sz w:val="24"/>
      <w:szCs w:val="24"/>
    </w:rPr>
  </w:style>
  <w:style w:type="paragraph" w:customStyle="1" w:styleId="author">
    <w:name w:val="author"/>
    <w:basedOn w:val="Normal"/>
    <w:rsid w:val="00F30CED"/>
    <w:pPr>
      <w:spacing w:before="100" w:beforeAutospacing="1" w:after="100" w:afterAutospacing="1"/>
    </w:pPr>
    <w:rPr>
      <w:sz w:val="24"/>
      <w:szCs w:val="24"/>
    </w:rPr>
  </w:style>
  <w:style w:type="paragraph" w:customStyle="1" w:styleId="References">
    <w:name w:val="References"/>
    <w:basedOn w:val="Normal"/>
    <w:autoRedefine/>
    <w:rsid w:val="00F30CED"/>
    <w:pPr>
      <w:ind w:left="720" w:hanging="720"/>
      <w:jc w:val="both"/>
    </w:pPr>
    <w:rPr>
      <w:sz w:val="24"/>
      <w:szCs w:val="24"/>
      <w:lang w:val="en-AU"/>
    </w:rPr>
  </w:style>
  <w:style w:type="paragraph" w:styleId="Title">
    <w:name w:val="Title"/>
    <w:basedOn w:val="Normal"/>
    <w:link w:val="TitleChar"/>
    <w:uiPriority w:val="10"/>
    <w:qFormat/>
    <w:rsid w:val="00F30CED"/>
    <w:pPr>
      <w:jc w:val="center"/>
    </w:pPr>
    <w:rPr>
      <w:b/>
      <w:bCs/>
      <w:sz w:val="24"/>
    </w:rPr>
  </w:style>
  <w:style w:type="character" w:customStyle="1" w:styleId="TitleChar">
    <w:name w:val="Title Char"/>
    <w:basedOn w:val="DefaultParagraphFont"/>
    <w:link w:val="Title"/>
    <w:uiPriority w:val="10"/>
    <w:rsid w:val="00F30CED"/>
    <w:rPr>
      <w:b/>
      <w:bCs/>
      <w:sz w:val="24"/>
    </w:rPr>
  </w:style>
  <w:style w:type="paragraph" w:customStyle="1" w:styleId="Authors">
    <w:name w:val="Authors"/>
    <w:basedOn w:val="Normal"/>
    <w:rsid w:val="00F30CED"/>
    <w:pPr>
      <w:spacing w:before="120" w:after="120"/>
      <w:jc w:val="both"/>
    </w:pPr>
    <w:rPr>
      <w:b/>
      <w:sz w:val="22"/>
      <w:szCs w:val="24"/>
      <w:lang w:val="en-AU"/>
    </w:rPr>
  </w:style>
  <w:style w:type="paragraph" w:styleId="Header">
    <w:name w:val="header"/>
    <w:basedOn w:val="Normal"/>
    <w:link w:val="HeaderChar"/>
    <w:uiPriority w:val="99"/>
    <w:rsid w:val="008C1E72"/>
    <w:pPr>
      <w:tabs>
        <w:tab w:val="center" w:pos="4680"/>
        <w:tab w:val="right" w:pos="9360"/>
      </w:tabs>
    </w:pPr>
  </w:style>
  <w:style w:type="character" w:customStyle="1" w:styleId="HeaderChar">
    <w:name w:val="Header Char"/>
    <w:basedOn w:val="DefaultParagraphFont"/>
    <w:link w:val="Header"/>
    <w:uiPriority w:val="99"/>
    <w:rsid w:val="008C1E72"/>
  </w:style>
  <w:style w:type="paragraph" w:customStyle="1" w:styleId="figure">
    <w:name w:val="figure"/>
    <w:basedOn w:val="Normal"/>
    <w:link w:val="figureChar"/>
    <w:qFormat/>
    <w:rsid w:val="00C43597"/>
    <w:pPr>
      <w:jc w:val="both"/>
    </w:pPr>
    <w:rPr>
      <w:sz w:val="24"/>
      <w:szCs w:val="24"/>
    </w:rPr>
  </w:style>
  <w:style w:type="character" w:customStyle="1" w:styleId="figureChar">
    <w:name w:val="figure Char"/>
    <w:basedOn w:val="DefaultParagraphFont"/>
    <w:link w:val="figure"/>
    <w:rsid w:val="00C43597"/>
    <w:rPr>
      <w:sz w:val="24"/>
      <w:szCs w:val="24"/>
    </w:rPr>
  </w:style>
  <w:style w:type="character" w:customStyle="1" w:styleId="Heading4Char">
    <w:name w:val="Heading 4 Char"/>
    <w:basedOn w:val="DefaultParagraphFont"/>
    <w:link w:val="Heading4"/>
    <w:uiPriority w:val="9"/>
    <w:semiHidden/>
    <w:rsid w:val="00BD4DB1"/>
    <w:rPr>
      <w:rFonts w:asciiTheme="majorHAnsi" w:eastAsiaTheme="majorEastAsia" w:hAnsiTheme="majorHAnsi" w:cstheme="majorBidi"/>
      <w:color w:val="2E74B5" w:themeColor="accent1" w:themeShade="BF"/>
      <w:sz w:val="24"/>
      <w:szCs w:val="24"/>
      <w:lang w:eastAsia="es-ES"/>
    </w:rPr>
  </w:style>
  <w:style w:type="character" w:customStyle="1" w:styleId="Heading5Char">
    <w:name w:val="Heading 5 Char"/>
    <w:basedOn w:val="DefaultParagraphFont"/>
    <w:link w:val="Heading5"/>
    <w:uiPriority w:val="9"/>
    <w:semiHidden/>
    <w:rsid w:val="00BD4DB1"/>
    <w:rPr>
      <w:rFonts w:asciiTheme="majorHAnsi" w:eastAsiaTheme="majorEastAsia" w:hAnsiTheme="majorHAnsi" w:cstheme="majorBidi"/>
      <w:caps/>
      <w:color w:val="2E74B5" w:themeColor="accent1" w:themeShade="BF"/>
      <w:sz w:val="24"/>
      <w:szCs w:val="22"/>
      <w:lang w:eastAsia="es-ES"/>
    </w:rPr>
  </w:style>
  <w:style w:type="character" w:customStyle="1" w:styleId="Heading6Char">
    <w:name w:val="Heading 6 Char"/>
    <w:basedOn w:val="DefaultParagraphFont"/>
    <w:link w:val="Heading6"/>
    <w:uiPriority w:val="9"/>
    <w:semiHidden/>
    <w:rsid w:val="00BD4DB1"/>
    <w:rPr>
      <w:rFonts w:asciiTheme="majorHAnsi" w:eastAsiaTheme="majorEastAsia" w:hAnsiTheme="majorHAnsi" w:cstheme="majorBidi"/>
      <w:i/>
      <w:iCs/>
      <w:caps/>
      <w:color w:val="1F4E79" w:themeColor="accent1" w:themeShade="80"/>
      <w:sz w:val="24"/>
      <w:szCs w:val="22"/>
      <w:lang w:eastAsia="es-ES"/>
    </w:rPr>
  </w:style>
  <w:style w:type="character" w:customStyle="1" w:styleId="Heading7Char">
    <w:name w:val="Heading 7 Char"/>
    <w:basedOn w:val="DefaultParagraphFont"/>
    <w:link w:val="Heading7"/>
    <w:uiPriority w:val="9"/>
    <w:semiHidden/>
    <w:rsid w:val="00BD4DB1"/>
    <w:rPr>
      <w:rFonts w:asciiTheme="majorHAnsi" w:eastAsiaTheme="majorEastAsia" w:hAnsiTheme="majorHAnsi" w:cstheme="majorBidi"/>
      <w:b/>
      <w:bCs/>
      <w:color w:val="1F4E79" w:themeColor="accent1" w:themeShade="80"/>
      <w:sz w:val="24"/>
      <w:szCs w:val="22"/>
      <w:lang w:eastAsia="es-ES"/>
    </w:rPr>
  </w:style>
  <w:style w:type="character" w:customStyle="1" w:styleId="Heading8Char">
    <w:name w:val="Heading 8 Char"/>
    <w:basedOn w:val="DefaultParagraphFont"/>
    <w:link w:val="Heading8"/>
    <w:uiPriority w:val="9"/>
    <w:semiHidden/>
    <w:rsid w:val="00BD4DB1"/>
    <w:rPr>
      <w:rFonts w:asciiTheme="majorHAnsi" w:eastAsiaTheme="majorEastAsia" w:hAnsiTheme="majorHAnsi" w:cstheme="majorBidi"/>
      <w:b/>
      <w:bCs/>
      <w:i/>
      <w:iCs/>
      <w:color w:val="1F4E79" w:themeColor="accent1" w:themeShade="80"/>
      <w:sz w:val="24"/>
      <w:szCs w:val="22"/>
      <w:lang w:eastAsia="es-ES"/>
    </w:rPr>
  </w:style>
  <w:style w:type="character" w:customStyle="1" w:styleId="Heading9Char">
    <w:name w:val="Heading 9 Char"/>
    <w:basedOn w:val="DefaultParagraphFont"/>
    <w:link w:val="Heading9"/>
    <w:uiPriority w:val="9"/>
    <w:semiHidden/>
    <w:rsid w:val="00BD4DB1"/>
    <w:rPr>
      <w:rFonts w:asciiTheme="majorHAnsi" w:eastAsiaTheme="majorEastAsia" w:hAnsiTheme="majorHAnsi" w:cstheme="majorBidi"/>
      <w:i/>
      <w:iCs/>
      <w:color w:val="1F4E79" w:themeColor="accent1" w:themeShade="80"/>
      <w:sz w:val="24"/>
      <w:szCs w:val="22"/>
      <w:lang w:eastAsia="es-ES"/>
    </w:rPr>
  </w:style>
  <w:style w:type="paragraph" w:styleId="Subtitle">
    <w:name w:val="Subtitle"/>
    <w:basedOn w:val="Normal"/>
    <w:next w:val="Normal"/>
    <w:link w:val="SubtitleChar"/>
    <w:uiPriority w:val="11"/>
    <w:qFormat/>
    <w:rsid w:val="00BD4DB1"/>
    <w:pPr>
      <w:numPr>
        <w:ilvl w:val="1"/>
      </w:numPr>
      <w:spacing w:line="360" w:lineRule="auto"/>
      <w:jc w:val="cente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BD4DB1"/>
    <w:rPr>
      <w:rFonts w:eastAsiaTheme="majorEastAsia" w:cstheme="majorBidi"/>
      <w:iCs/>
      <w:color w:val="000000" w:themeColor="text1"/>
      <w:spacing w:val="15"/>
      <w:sz w:val="24"/>
      <w:szCs w:val="24"/>
    </w:rPr>
  </w:style>
  <w:style w:type="paragraph" w:styleId="BodyText0">
    <w:name w:val="Body Text"/>
    <w:basedOn w:val="Normal"/>
    <w:link w:val="BodyTextChar0"/>
    <w:uiPriority w:val="1"/>
    <w:qFormat/>
    <w:rsid w:val="00BD4DB1"/>
    <w:pPr>
      <w:widowControl w:val="0"/>
      <w:ind w:left="120"/>
    </w:pPr>
    <w:rPr>
      <w:rFonts w:cstheme="minorBidi"/>
    </w:rPr>
  </w:style>
  <w:style w:type="character" w:customStyle="1" w:styleId="BodyTextChar0">
    <w:name w:val="Body Text Char"/>
    <w:basedOn w:val="DefaultParagraphFont"/>
    <w:link w:val="BodyText0"/>
    <w:uiPriority w:val="1"/>
    <w:rsid w:val="00BD4DB1"/>
    <w:rPr>
      <w:rFonts w:cstheme="minorBidi"/>
    </w:rPr>
  </w:style>
  <w:style w:type="paragraph" w:styleId="ListParagraph">
    <w:name w:val="List Paragraph"/>
    <w:basedOn w:val="Normal"/>
    <w:uiPriority w:val="34"/>
    <w:qFormat/>
    <w:rsid w:val="00BD4DB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BD4DB1"/>
    <w:pPr>
      <w:widowControl w:val="0"/>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unhideWhenUsed/>
    <w:rsid w:val="00BD4DB1"/>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uiPriority w:val="99"/>
    <w:rsid w:val="00BD4DB1"/>
  </w:style>
  <w:style w:type="paragraph" w:customStyle="1" w:styleId="Table0">
    <w:name w:val="Table"/>
    <w:basedOn w:val="Normal"/>
    <w:link w:val="TableChar0"/>
    <w:autoRedefine/>
    <w:qFormat/>
    <w:rsid w:val="00BD4DB1"/>
    <w:pPr>
      <w:tabs>
        <w:tab w:val="left" w:pos="-720"/>
        <w:tab w:val="left" w:pos="0"/>
      </w:tabs>
      <w:suppressAutoHyphens/>
    </w:pPr>
    <w:rPr>
      <w:rFonts w:eastAsiaTheme="minorHAnsi"/>
      <w:sz w:val="24"/>
      <w:szCs w:val="24"/>
    </w:rPr>
  </w:style>
  <w:style w:type="character" w:customStyle="1" w:styleId="TableChar0">
    <w:name w:val="Table Char"/>
    <w:basedOn w:val="DefaultParagraphFont"/>
    <w:link w:val="Table0"/>
    <w:rsid w:val="00BD4DB1"/>
    <w:rPr>
      <w:rFonts w:eastAsiaTheme="minorHAnsi"/>
      <w:sz w:val="24"/>
      <w:szCs w:val="24"/>
    </w:rPr>
  </w:style>
  <w:style w:type="paragraph" w:customStyle="1" w:styleId="Figure0">
    <w:name w:val="Figure"/>
    <w:basedOn w:val="Normal"/>
    <w:link w:val="FigureChar0"/>
    <w:autoRedefine/>
    <w:qFormat/>
    <w:rsid w:val="00BD4DB1"/>
    <w:rPr>
      <w:rFonts w:eastAsiaTheme="minorHAnsi" w:cstheme="minorBidi"/>
      <w:sz w:val="24"/>
      <w:szCs w:val="22"/>
    </w:rPr>
  </w:style>
  <w:style w:type="character" w:customStyle="1" w:styleId="FigureChar0">
    <w:name w:val="Figure Char"/>
    <w:basedOn w:val="DefaultParagraphFont"/>
    <w:link w:val="Figure0"/>
    <w:rsid w:val="00BD4DB1"/>
    <w:rPr>
      <w:rFonts w:eastAsiaTheme="minorHAnsi" w:cstheme="minorBidi"/>
      <w:sz w:val="24"/>
      <w:szCs w:val="22"/>
    </w:rPr>
  </w:style>
  <w:style w:type="paragraph" w:styleId="NoSpacing">
    <w:name w:val="No Spacing"/>
    <w:link w:val="NoSpacingChar"/>
    <w:uiPriority w:val="1"/>
    <w:qFormat/>
    <w:rsid w:val="00BD4DB1"/>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BD4DB1"/>
    <w:rPr>
      <w:rFonts w:asciiTheme="minorHAnsi" w:eastAsiaTheme="minorHAnsi" w:hAnsiTheme="minorHAnsi" w:cstheme="minorBidi"/>
      <w:sz w:val="22"/>
      <w:szCs w:val="22"/>
    </w:rPr>
  </w:style>
  <w:style w:type="paragraph" w:styleId="List">
    <w:name w:val="List"/>
    <w:basedOn w:val="Normal"/>
    <w:rsid w:val="00BD4DB1"/>
    <w:pPr>
      <w:widowControl w:val="0"/>
      <w:tabs>
        <w:tab w:val="left" w:pos="-566"/>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right" w:pos="8793"/>
      </w:tabs>
      <w:ind w:left="566" w:hanging="566"/>
    </w:pPr>
    <w:rPr>
      <w:snapToGrid w:val="0"/>
      <w:sz w:val="24"/>
    </w:rPr>
  </w:style>
  <w:style w:type="character" w:styleId="Strong">
    <w:name w:val="Strong"/>
    <w:basedOn w:val="DefaultParagraphFont"/>
    <w:uiPriority w:val="22"/>
    <w:qFormat/>
    <w:rsid w:val="00BD4DB1"/>
    <w:rPr>
      <w:b/>
      <w:bCs/>
    </w:rPr>
  </w:style>
  <w:style w:type="character" w:customStyle="1" w:styleId="wideparrichtexteditortext">
    <w:name w:val="wideparrichtexteditortext"/>
    <w:rsid w:val="00BD4DB1"/>
  </w:style>
  <w:style w:type="paragraph" w:styleId="BodyTextIndent2">
    <w:name w:val="Body Text Indent 2"/>
    <w:basedOn w:val="Normal"/>
    <w:link w:val="BodyTextIndent2Char"/>
    <w:uiPriority w:val="99"/>
    <w:unhideWhenUsed/>
    <w:rsid w:val="00BD4DB1"/>
    <w:pPr>
      <w:spacing w:after="120" w:line="480" w:lineRule="auto"/>
      <w:ind w:left="360"/>
    </w:pPr>
    <w:rPr>
      <w:rFonts w:eastAsiaTheme="minorHAnsi" w:cstheme="minorBidi"/>
      <w:sz w:val="24"/>
      <w:szCs w:val="22"/>
    </w:rPr>
  </w:style>
  <w:style w:type="character" w:customStyle="1" w:styleId="BodyTextIndent2Char">
    <w:name w:val="Body Text Indent 2 Char"/>
    <w:basedOn w:val="DefaultParagraphFont"/>
    <w:link w:val="BodyTextIndent2"/>
    <w:uiPriority w:val="99"/>
    <w:rsid w:val="00BD4DB1"/>
    <w:rPr>
      <w:rFonts w:eastAsiaTheme="minorHAnsi" w:cstheme="minorBidi"/>
      <w:sz w:val="24"/>
      <w:szCs w:val="22"/>
    </w:rPr>
  </w:style>
  <w:style w:type="paragraph" w:customStyle="1" w:styleId="BodyTextI1">
    <w:name w:val="Body Text I1"/>
    <w:basedOn w:val="Normal"/>
    <w:rsid w:val="00BD4DB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Pr>
      <w:snapToGrid w:val="0"/>
      <w:sz w:val="24"/>
    </w:rPr>
  </w:style>
  <w:style w:type="paragraph" w:customStyle="1" w:styleId="Pa19">
    <w:name w:val="Pa19"/>
    <w:basedOn w:val="Normal"/>
    <w:next w:val="Normal"/>
    <w:uiPriority w:val="99"/>
    <w:rsid w:val="00BD4DB1"/>
    <w:pPr>
      <w:autoSpaceDE w:val="0"/>
      <w:autoSpaceDN w:val="0"/>
      <w:adjustRightInd w:val="0"/>
      <w:spacing w:line="141" w:lineRule="atLeast"/>
    </w:pPr>
    <w:rPr>
      <w:rFonts w:ascii="Frutiger LT Std" w:hAnsi="Frutiger LT Std"/>
      <w:sz w:val="24"/>
      <w:szCs w:val="24"/>
    </w:rPr>
  </w:style>
  <w:style w:type="paragraph" w:styleId="BodyTextIndent3">
    <w:name w:val="Body Text Indent 3"/>
    <w:basedOn w:val="Normal"/>
    <w:link w:val="BodyTextIndent3Char"/>
    <w:uiPriority w:val="99"/>
    <w:unhideWhenUsed/>
    <w:rsid w:val="00BD4DB1"/>
    <w:pPr>
      <w:spacing w:after="120" w:line="360" w:lineRule="auto"/>
      <w:ind w:left="360"/>
    </w:pPr>
    <w:rPr>
      <w:rFonts w:eastAsiaTheme="minorHAnsi" w:cstheme="minorBidi"/>
      <w:sz w:val="16"/>
      <w:szCs w:val="16"/>
    </w:rPr>
  </w:style>
  <w:style w:type="character" w:customStyle="1" w:styleId="BodyTextIndent3Char">
    <w:name w:val="Body Text Indent 3 Char"/>
    <w:basedOn w:val="DefaultParagraphFont"/>
    <w:link w:val="BodyTextIndent3"/>
    <w:uiPriority w:val="99"/>
    <w:rsid w:val="00BD4DB1"/>
    <w:rPr>
      <w:rFonts w:eastAsiaTheme="minorHAnsi" w:cstheme="minorBidi"/>
      <w:sz w:val="16"/>
      <w:szCs w:val="16"/>
    </w:rPr>
  </w:style>
  <w:style w:type="paragraph" w:customStyle="1" w:styleId="BodyTextIn">
    <w:name w:val="Body Text In"/>
    <w:basedOn w:val="Normal"/>
    <w:rsid w:val="00BD4DB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pPr>
    <w:rPr>
      <w:snapToGrid w:val="0"/>
      <w:sz w:val="24"/>
    </w:rPr>
  </w:style>
  <w:style w:type="paragraph" w:customStyle="1" w:styleId="StyleforNMSGS">
    <w:name w:val="Style for NMSGS"/>
    <w:basedOn w:val="Normal"/>
    <w:qFormat/>
    <w:rsid w:val="00BD4DB1"/>
    <w:pPr>
      <w:widowControl w:val="0"/>
      <w:tabs>
        <w:tab w:val="left" w:pos="-1440"/>
        <w:tab w:val="left" w:pos="-720"/>
        <w:tab w:val="left" w:pos="0"/>
        <w:tab w:val="left" w:pos="713"/>
        <w:tab w:val="left" w:pos="1426"/>
        <w:tab w:val="left" w:pos="2160"/>
        <w:tab w:val="left" w:pos="2850"/>
        <w:tab w:val="left" w:pos="3564"/>
        <w:tab w:val="left" w:pos="4277"/>
        <w:tab w:val="left" w:pos="5052"/>
        <w:tab w:val="left" w:pos="5760"/>
      </w:tabs>
      <w:suppressAutoHyphens/>
      <w:spacing w:line="480" w:lineRule="auto"/>
      <w:ind w:firstLine="720"/>
    </w:pPr>
    <w:rPr>
      <w:snapToGrid w:val="0"/>
      <w:spacing w:val="-3"/>
      <w:szCs w:val="24"/>
    </w:rPr>
  </w:style>
  <w:style w:type="paragraph" w:styleId="Caption">
    <w:name w:val="caption"/>
    <w:basedOn w:val="Normal"/>
    <w:next w:val="Normal"/>
    <w:uiPriority w:val="35"/>
    <w:unhideWhenUsed/>
    <w:qFormat/>
    <w:rsid w:val="00BD4DB1"/>
    <w:pPr>
      <w:spacing w:after="200"/>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unhideWhenUsed/>
    <w:rsid w:val="00BD4DB1"/>
    <w:pPr>
      <w:spacing w:before="100" w:beforeAutospacing="1" w:after="100" w:afterAutospacing="1"/>
    </w:pPr>
    <w:rPr>
      <w:sz w:val="24"/>
      <w:szCs w:val="24"/>
    </w:rPr>
  </w:style>
  <w:style w:type="paragraph" w:styleId="TOCHeading">
    <w:name w:val="TOC Heading"/>
    <w:basedOn w:val="Heading1"/>
    <w:next w:val="Normal"/>
    <w:uiPriority w:val="39"/>
    <w:unhideWhenUsed/>
    <w:qFormat/>
    <w:rsid w:val="00BD4DB1"/>
    <w:pPr>
      <w:spacing w:before="480" w:line="276" w:lineRule="auto"/>
      <w:outlineLvl w:val="9"/>
    </w:pPr>
    <w:rPr>
      <w:b/>
      <w:bCs/>
      <w:sz w:val="24"/>
      <w:szCs w:val="24"/>
      <w:lang w:eastAsia="ja-JP"/>
    </w:rPr>
  </w:style>
  <w:style w:type="paragraph" w:styleId="TOC1">
    <w:name w:val="toc 1"/>
    <w:aliases w:val="Thesis"/>
    <w:basedOn w:val="Normal"/>
    <w:next w:val="Normal"/>
    <w:link w:val="TOC1Char"/>
    <w:autoRedefine/>
    <w:uiPriority w:val="39"/>
    <w:unhideWhenUsed/>
    <w:rsid w:val="00BD4DB1"/>
    <w:pPr>
      <w:spacing w:after="100" w:line="360" w:lineRule="auto"/>
    </w:pPr>
    <w:rPr>
      <w:rFonts w:eastAsiaTheme="minorHAnsi"/>
      <w:color w:val="1F4E79" w:themeColor="accent1" w:themeShade="80"/>
      <w:sz w:val="24"/>
      <w:szCs w:val="24"/>
    </w:rPr>
  </w:style>
  <w:style w:type="character" w:customStyle="1" w:styleId="TOC1Char">
    <w:name w:val="TOC 1 Char"/>
    <w:aliases w:val="Thesis Char"/>
    <w:basedOn w:val="ThesisHead1Char"/>
    <w:link w:val="TOC1"/>
    <w:uiPriority w:val="39"/>
    <w:rsid w:val="00BD4DB1"/>
    <w:rPr>
      <w:rFonts w:asciiTheme="majorHAnsi" w:eastAsiaTheme="minorHAnsi" w:hAnsiTheme="majorHAnsi" w:cstheme="majorBidi"/>
      <w:caps w:val="0"/>
      <w:color w:val="1F4E79" w:themeColor="accent1" w:themeShade="80"/>
      <w:sz w:val="24"/>
      <w:szCs w:val="24"/>
    </w:rPr>
  </w:style>
  <w:style w:type="character" w:customStyle="1" w:styleId="ThesisHead1Char">
    <w:name w:val="Thesis_Head 1 Char"/>
    <w:basedOn w:val="Heading1Char"/>
    <w:link w:val="ThesisHead1"/>
    <w:rsid w:val="00BD4DB1"/>
    <w:rPr>
      <w:rFonts w:asciiTheme="majorHAnsi" w:eastAsiaTheme="majorEastAsia" w:hAnsiTheme="majorHAnsi" w:cstheme="majorBidi"/>
      <w:caps/>
      <w:color w:val="1F4E79" w:themeColor="accent1" w:themeShade="80"/>
      <w:sz w:val="24"/>
      <w:szCs w:val="24"/>
    </w:rPr>
  </w:style>
  <w:style w:type="paragraph" w:customStyle="1" w:styleId="ThesisHead1">
    <w:name w:val="Thesis_Head 1"/>
    <w:basedOn w:val="Heading1"/>
    <w:link w:val="ThesisHead1Char"/>
    <w:autoRedefine/>
    <w:rsid w:val="00BD4DB1"/>
    <w:pPr>
      <w:spacing w:before="200" w:line="276" w:lineRule="auto"/>
      <w:jc w:val="both"/>
    </w:pPr>
    <w:rPr>
      <w:rFonts w:ascii="Times New Roman" w:eastAsia="Times New Roman" w:hAnsi="Times New Roman" w:cs="Times New Roman"/>
      <w:caps/>
      <w:color w:val="1F4E79" w:themeColor="accent1" w:themeShade="80"/>
      <w:sz w:val="24"/>
      <w:szCs w:val="24"/>
    </w:rPr>
  </w:style>
  <w:style w:type="paragraph" w:styleId="TOC2">
    <w:name w:val="toc 2"/>
    <w:basedOn w:val="Normal"/>
    <w:next w:val="Normal"/>
    <w:autoRedefine/>
    <w:uiPriority w:val="39"/>
    <w:unhideWhenUsed/>
    <w:rsid w:val="00BD4DB1"/>
    <w:pPr>
      <w:spacing w:after="100" w:line="360" w:lineRule="auto"/>
      <w:ind w:left="240"/>
    </w:pPr>
    <w:rPr>
      <w:rFonts w:eastAsiaTheme="minorHAnsi" w:cstheme="minorBidi"/>
      <w:sz w:val="24"/>
      <w:szCs w:val="22"/>
    </w:rPr>
  </w:style>
  <w:style w:type="paragraph" w:styleId="TOC3">
    <w:name w:val="toc 3"/>
    <w:basedOn w:val="Normal"/>
    <w:next w:val="Normal"/>
    <w:autoRedefine/>
    <w:uiPriority w:val="39"/>
    <w:unhideWhenUsed/>
    <w:rsid w:val="00BD4DB1"/>
    <w:pPr>
      <w:spacing w:after="100" w:line="360" w:lineRule="auto"/>
      <w:ind w:left="480"/>
    </w:pPr>
    <w:rPr>
      <w:rFonts w:eastAsiaTheme="minorHAnsi" w:cstheme="minorBidi"/>
      <w:sz w:val="24"/>
      <w:szCs w:val="22"/>
    </w:rPr>
  </w:style>
  <w:style w:type="character" w:styleId="Emphasis">
    <w:name w:val="Emphasis"/>
    <w:basedOn w:val="DefaultParagraphFont"/>
    <w:uiPriority w:val="20"/>
    <w:qFormat/>
    <w:rsid w:val="00BD4DB1"/>
    <w:rPr>
      <w:i/>
      <w:iCs/>
    </w:rPr>
  </w:style>
  <w:style w:type="character" w:customStyle="1" w:styleId="normaltextrun">
    <w:name w:val="normaltextrun"/>
    <w:rsid w:val="00BD4DB1"/>
  </w:style>
  <w:style w:type="paragraph" w:styleId="TableofFigures">
    <w:name w:val="table of figures"/>
    <w:basedOn w:val="Normal"/>
    <w:next w:val="Normal"/>
    <w:uiPriority w:val="99"/>
    <w:unhideWhenUsed/>
    <w:rsid w:val="00BD4DB1"/>
    <w:rPr>
      <w:rFonts w:eastAsiaTheme="minorEastAsia" w:cstheme="minorBidi"/>
      <w:szCs w:val="22"/>
      <w:lang w:eastAsia="es-ES"/>
    </w:rPr>
  </w:style>
  <w:style w:type="paragraph" w:styleId="CommentSubject">
    <w:name w:val="annotation subject"/>
    <w:basedOn w:val="CommentText"/>
    <w:next w:val="CommentText"/>
    <w:link w:val="CommentSubjectChar"/>
    <w:uiPriority w:val="99"/>
    <w:unhideWhenUsed/>
    <w:rsid w:val="00BD4DB1"/>
    <w:rPr>
      <w:rFonts w:eastAsiaTheme="minorHAnsi" w:cstheme="minorBidi"/>
      <w:b/>
      <w:bCs/>
      <w:sz w:val="20"/>
      <w:szCs w:val="20"/>
    </w:rPr>
  </w:style>
  <w:style w:type="character" w:customStyle="1" w:styleId="CommentSubjectChar">
    <w:name w:val="Comment Subject Char"/>
    <w:basedOn w:val="CommentTextChar"/>
    <w:link w:val="CommentSubject"/>
    <w:uiPriority w:val="99"/>
    <w:rsid w:val="00BD4DB1"/>
    <w:rPr>
      <w:rFonts w:eastAsiaTheme="minorHAnsi" w:cstheme="minorBidi"/>
      <w:b/>
      <w:bCs/>
      <w:sz w:val="24"/>
      <w:szCs w:val="24"/>
    </w:rPr>
  </w:style>
  <w:style w:type="paragraph" w:styleId="PlainText">
    <w:name w:val="Plain Text"/>
    <w:basedOn w:val="Normal"/>
    <w:link w:val="PlainTextChar"/>
    <w:rsid w:val="00BD4DB1"/>
    <w:rPr>
      <w:rFonts w:ascii="Courier New" w:hAnsi="Courier New" w:cs="Courier New"/>
    </w:rPr>
  </w:style>
  <w:style w:type="character" w:customStyle="1" w:styleId="PlainTextChar">
    <w:name w:val="Plain Text Char"/>
    <w:basedOn w:val="DefaultParagraphFont"/>
    <w:link w:val="PlainText"/>
    <w:rsid w:val="00BD4DB1"/>
    <w:rPr>
      <w:rFonts w:ascii="Courier New" w:hAnsi="Courier New" w:cs="Courier New"/>
    </w:rPr>
  </w:style>
  <w:style w:type="character" w:styleId="FollowedHyperlink">
    <w:name w:val="FollowedHyperlink"/>
    <w:basedOn w:val="DefaultParagraphFont"/>
    <w:uiPriority w:val="99"/>
    <w:unhideWhenUsed/>
    <w:rsid w:val="00BD4DB1"/>
    <w:rPr>
      <w:color w:val="954F72" w:themeColor="followedHyperlink"/>
      <w:u w:val="single"/>
    </w:rPr>
  </w:style>
  <w:style w:type="character" w:customStyle="1" w:styleId="mw-headline">
    <w:name w:val="mw-headline"/>
    <w:basedOn w:val="DefaultParagraphFont"/>
    <w:rsid w:val="00BD4DB1"/>
  </w:style>
  <w:style w:type="character" w:customStyle="1" w:styleId="mw-editsection">
    <w:name w:val="mw-editsection"/>
    <w:basedOn w:val="DefaultParagraphFont"/>
    <w:rsid w:val="00BD4DB1"/>
  </w:style>
  <w:style w:type="character" w:customStyle="1" w:styleId="mw-editsection-bracket">
    <w:name w:val="mw-editsection-bracket"/>
    <w:basedOn w:val="DefaultParagraphFont"/>
    <w:rsid w:val="00BD4DB1"/>
  </w:style>
  <w:style w:type="character" w:customStyle="1" w:styleId="mwe-math-mathml-inline">
    <w:name w:val="mwe-math-mathml-inline"/>
    <w:basedOn w:val="DefaultParagraphFont"/>
    <w:rsid w:val="00BD4DB1"/>
  </w:style>
  <w:style w:type="character" w:customStyle="1" w:styleId="apple-converted-space">
    <w:name w:val="apple-converted-space"/>
    <w:basedOn w:val="DefaultParagraphFont"/>
    <w:rsid w:val="00BD4DB1"/>
  </w:style>
  <w:style w:type="paragraph" w:customStyle="1" w:styleId="Pa21">
    <w:name w:val="Pa21"/>
    <w:basedOn w:val="Default"/>
    <w:next w:val="Default"/>
    <w:uiPriority w:val="99"/>
    <w:rsid w:val="00BD4DB1"/>
    <w:pPr>
      <w:spacing w:after="160" w:line="201" w:lineRule="atLeast"/>
    </w:pPr>
    <w:rPr>
      <w:rFonts w:eastAsiaTheme="minorEastAsia"/>
      <w:color w:val="auto"/>
      <w:sz w:val="22"/>
      <w:szCs w:val="22"/>
      <w:lang w:eastAsia="es-ES"/>
    </w:rPr>
  </w:style>
  <w:style w:type="character" w:customStyle="1" w:styleId="ilad">
    <w:name w:val="il_ad"/>
    <w:basedOn w:val="DefaultParagraphFont"/>
    <w:rsid w:val="00BD4DB1"/>
  </w:style>
  <w:style w:type="paragraph" w:styleId="FootnoteText">
    <w:name w:val="footnote text"/>
    <w:basedOn w:val="Normal"/>
    <w:link w:val="FootnoteTextChar"/>
    <w:uiPriority w:val="99"/>
    <w:unhideWhenUsed/>
    <w:rsid w:val="00BD4DB1"/>
    <w:pPr>
      <w:spacing w:line="276" w:lineRule="auto"/>
    </w:pPr>
    <w:rPr>
      <w:rFonts w:eastAsiaTheme="minorEastAsia" w:cstheme="minorBidi"/>
      <w:lang w:eastAsia="es-ES"/>
    </w:rPr>
  </w:style>
  <w:style w:type="character" w:customStyle="1" w:styleId="FootnoteTextChar">
    <w:name w:val="Footnote Text Char"/>
    <w:basedOn w:val="DefaultParagraphFont"/>
    <w:link w:val="FootnoteText"/>
    <w:uiPriority w:val="99"/>
    <w:rsid w:val="00BD4DB1"/>
    <w:rPr>
      <w:rFonts w:eastAsiaTheme="minorEastAsia" w:cstheme="minorBidi"/>
      <w:lang w:eastAsia="es-ES"/>
    </w:rPr>
  </w:style>
  <w:style w:type="character" w:styleId="FootnoteReference">
    <w:name w:val="footnote reference"/>
    <w:basedOn w:val="DefaultParagraphFont"/>
    <w:uiPriority w:val="99"/>
    <w:unhideWhenUsed/>
    <w:rsid w:val="00BD4DB1"/>
    <w:rPr>
      <w:vertAlign w:val="superscript"/>
    </w:rPr>
  </w:style>
  <w:style w:type="paragraph" w:customStyle="1" w:styleId="ThesisHead2">
    <w:name w:val="Thesis_Head2"/>
    <w:basedOn w:val="Heading2"/>
    <w:link w:val="ThesisHead2Char"/>
    <w:autoRedefine/>
    <w:qFormat/>
    <w:rsid w:val="00BD4DB1"/>
    <w:pPr>
      <w:keepLines/>
      <w:spacing w:before="400" w:line="276" w:lineRule="auto"/>
      <w:outlineLvl w:val="9"/>
    </w:pPr>
    <w:rPr>
      <w:rFonts w:eastAsiaTheme="majorEastAsia"/>
      <w:noProof/>
      <w:color w:val="000000" w:themeColor="text1"/>
      <w:sz w:val="24"/>
    </w:rPr>
  </w:style>
  <w:style w:type="character" w:customStyle="1" w:styleId="ThesisHead2Char">
    <w:name w:val="Thesis_Head2 Char"/>
    <w:basedOn w:val="Heading2Char"/>
    <w:link w:val="ThesisHead2"/>
    <w:rsid w:val="00BD4DB1"/>
    <w:rPr>
      <w:rFonts w:eastAsiaTheme="majorEastAsia"/>
      <w:b/>
      <w:noProof/>
      <w:color w:val="000000" w:themeColor="text1"/>
      <w:sz w:val="24"/>
    </w:rPr>
  </w:style>
  <w:style w:type="paragraph" w:customStyle="1" w:styleId="ThesisHead3">
    <w:name w:val="Thesis_Head3"/>
    <w:basedOn w:val="Normal"/>
    <w:link w:val="ThesisHead3Char"/>
    <w:autoRedefine/>
    <w:rsid w:val="00BD4DB1"/>
    <w:pPr>
      <w:spacing w:before="200" w:line="276" w:lineRule="auto"/>
    </w:pPr>
    <w:rPr>
      <w:rFonts w:eastAsiaTheme="minorEastAsia"/>
      <w:b/>
      <w:i/>
      <w:sz w:val="24"/>
      <w:szCs w:val="22"/>
      <w:lang w:eastAsia="es-ES"/>
    </w:rPr>
  </w:style>
  <w:style w:type="character" w:customStyle="1" w:styleId="ThesisHead3Char">
    <w:name w:val="Thesis_Head3 Char"/>
    <w:basedOn w:val="DefaultParagraphFont"/>
    <w:link w:val="ThesisHead3"/>
    <w:rsid w:val="00BD4DB1"/>
    <w:rPr>
      <w:rFonts w:eastAsiaTheme="minorEastAsia"/>
      <w:b/>
      <w:i/>
      <w:sz w:val="24"/>
      <w:szCs w:val="22"/>
      <w:lang w:eastAsia="es-ES"/>
    </w:rPr>
  </w:style>
  <w:style w:type="paragraph" w:styleId="Quote">
    <w:name w:val="Quote"/>
    <w:basedOn w:val="Normal"/>
    <w:next w:val="Normal"/>
    <w:link w:val="QuoteChar"/>
    <w:uiPriority w:val="29"/>
    <w:qFormat/>
    <w:rsid w:val="00BD4DB1"/>
    <w:pPr>
      <w:spacing w:before="120" w:after="120" w:line="276" w:lineRule="auto"/>
      <w:ind w:left="720"/>
    </w:pPr>
    <w:rPr>
      <w:rFonts w:eastAsiaTheme="minorEastAsia" w:cstheme="minorBidi"/>
      <w:color w:val="44546A" w:themeColor="text2"/>
      <w:sz w:val="24"/>
      <w:szCs w:val="24"/>
      <w:lang w:eastAsia="es-ES"/>
    </w:rPr>
  </w:style>
  <w:style w:type="character" w:customStyle="1" w:styleId="QuoteChar">
    <w:name w:val="Quote Char"/>
    <w:basedOn w:val="DefaultParagraphFont"/>
    <w:link w:val="Quote"/>
    <w:uiPriority w:val="29"/>
    <w:rsid w:val="00BD4DB1"/>
    <w:rPr>
      <w:rFonts w:eastAsiaTheme="minorEastAsia" w:cstheme="minorBidi"/>
      <w:color w:val="44546A" w:themeColor="text2"/>
      <w:sz w:val="24"/>
      <w:szCs w:val="24"/>
      <w:lang w:eastAsia="es-ES"/>
    </w:rPr>
  </w:style>
  <w:style w:type="paragraph" w:styleId="IntenseQuote">
    <w:name w:val="Intense Quote"/>
    <w:basedOn w:val="Normal"/>
    <w:next w:val="Normal"/>
    <w:link w:val="IntenseQuoteChar"/>
    <w:uiPriority w:val="30"/>
    <w:qFormat/>
    <w:rsid w:val="00BD4DB1"/>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s-ES"/>
    </w:rPr>
  </w:style>
  <w:style w:type="character" w:customStyle="1" w:styleId="IntenseQuoteChar">
    <w:name w:val="Intense Quote Char"/>
    <w:basedOn w:val="DefaultParagraphFont"/>
    <w:link w:val="IntenseQuote"/>
    <w:uiPriority w:val="30"/>
    <w:rsid w:val="00BD4DB1"/>
    <w:rPr>
      <w:rFonts w:asciiTheme="majorHAnsi" w:eastAsiaTheme="majorEastAsia" w:hAnsiTheme="majorHAnsi" w:cstheme="majorBidi"/>
      <w:color w:val="44546A" w:themeColor="text2"/>
      <w:spacing w:val="-6"/>
      <w:sz w:val="32"/>
      <w:szCs w:val="32"/>
      <w:lang w:eastAsia="es-ES"/>
    </w:rPr>
  </w:style>
  <w:style w:type="character" w:styleId="SubtleEmphasis">
    <w:name w:val="Subtle Emphasis"/>
    <w:basedOn w:val="DefaultParagraphFont"/>
    <w:uiPriority w:val="19"/>
    <w:qFormat/>
    <w:rsid w:val="00BD4DB1"/>
    <w:rPr>
      <w:i/>
      <w:iCs/>
      <w:color w:val="595959" w:themeColor="text1" w:themeTint="A6"/>
    </w:rPr>
  </w:style>
  <w:style w:type="character" w:styleId="IntenseEmphasis">
    <w:name w:val="Intense Emphasis"/>
    <w:basedOn w:val="DefaultParagraphFont"/>
    <w:uiPriority w:val="21"/>
    <w:qFormat/>
    <w:rsid w:val="00BD4DB1"/>
    <w:rPr>
      <w:b/>
      <w:bCs/>
      <w:i/>
      <w:iCs/>
    </w:rPr>
  </w:style>
  <w:style w:type="character" w:styleId="SubtleReference">
    <w:name w:val="Subtle Reference"/>
    <w:basedOn w:val="DefaultParagraphFont"/>
    <w:uiPriority w:val="31"/>
    <w:qFormat/>
    <w:rsid w:val="00BD4D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D4DB1"/>
    <w:rPr>
      <w:b/>
      <w:bCs/>
      <w:smallCaps/>
      <w:color w:val="44546A" w:themeColor="text2"/>
      <w:u w:val="single"/>
    </w:rPr>
  </w:style>
  <w:style w:type="character" w:styleId="BookTitle">
    <w:name w:val="Book Title"/>
    <w:basedOn w:val="DefaultParagraphFont"/>
    <w:uiPriority w:val="33"/>
    <w:qFormat/>
    <w:rsid w:val="00BD4DB1"/>
    <w:rPr>
      <w:b/>
      <w:bCs/>
      <w:smallCaps/>
      <w:spacing w:val="10"/>
    </w:rPr>
  </w:style>
  <w:style w:type="paragraph" w:customStyle="1" w:styleId="msonormal0">
    <w:name w:val="msonormal"/>
    <w:basedOn w:val="Normal"/>
    <w:rsid w:val="00BD4DB1"/>
    <w:pPr>
      <w:spacing w:before="100" w:beforeAutospacing="1" w:after="100" w:afterAutospacing="1"/>
    </w:pPr>
    <w:rPr>
      <w:sz w:val="24"/>
      <w:szCs w:val="24"/>
    </w:rPr>
  </w:style>
  <w:style w:type="paragraph" w:customStyle="1" w:styleId="xl63">
    <w:name w:val="xl63"/>
    <w:basedOn w:val="Normal"/>
    <w:rsid w:val="00BD4DB1"/>
    <w:pPr>
      <w:spacing w:before="100" w:beforeAutospacing="1" w:after="100" w:afterAutospacing="1"/>
    </w:pPr>
  </w:style>
  <w:style w:type="paragraph" w:customStyle="1" w:styleId="xl64">
    <w:name w:val="xl64"/>
    <w:basedOn w:val="Normal"/>
    <w:rsid w:val="00BD4DB1"/>
    <w:pPr>
      <w:spacing w:before="100" w:beforeAutospacing="1" w:after="100" w:afterAutospacing="1"/>
      <w:jc w:val="center"/>
      <w:textAlignment w:val="center"/>
    </w:pPr>
    <w:rPr>
      <w:b/>
      <w:bCs/>
    </w:rPr>
  </w:style>
  <w:style w:type="paragraph" w:customStyle="1" w:styleId="xl65">
    <w:name w:val="xl65"/>
    <w:basedOn w:val="Normal"/>
    <w:rsid w:val="00BD4DB1"/>
    <w:pPr>
      <w:spacing w:before="100" w:beforeAutospacing="1" w:after="100" w:afterAutospacing="1"/>
      <w:jc w:val="center"/>
      <w:textAlignment w:val="center"/>
    </w:pPr>
    <w:rPr>
      <w:b/>
      <w:bCs/>
    </w:rPr>
  </w:style>
  <w:style w:type="paragraph" w:customStyle="1" w:styleId="xl66">
    <w:name w:val="xl66"/>
    <w:basedOn w:val="Normal"/>
    <w:rsid w:val="00BD4DB1"/>
    <w:pPr>
      <w:spacing w:before="100" w:beforeAutospacing="1" w:after="100" w:afterAutospacing="1"/>
      <w:jc w:val="center"/>
      <w:textAlignment w:val="center"/>
    </w:pPr>
  </w:style>
  <w:style w:type="paragraph" w:customStyle="1" w:styleId="xl67">
    <w:name w:val="xl67"/>
    <w:basedOn w:val="Normal"/>
    <w:rsid w:val="00BD4DB1"/>
    <w:pPr>
      <w:spacing w:before="100" w:beforeAutospacing="1" w:after="100" w:afterAutospacing="1"/>
      <w:jc w:val="center"/>
      <w:textAlignment w:val="center"/>
    </w:pPr>
  </w:style>
  <w:style w:type="paragraph" w:customStyle="1" w:styleId="xl68">
    <w:name w:val="xl68"/>
    <w:basedOn w:val="Normal"/>
    <w:rsid w:val="00BD4DB1"/>
    <w:pPr>
      <w:spacing w:before="100" w:beforeAutospacing="1" w:after="100" w:afterAutospacing="1"/>
      <w:jc w:val="center"/>
      <w:textAlignment w:val="center"/>
    </w:pPr>
    <w:rPr>
      <w:color w:val="FF0000"/>
    </w:rPr>
  </w:style>
  <w:style w:type="paragraph" w:customStyle="1" w:styleId="xl69">
    <w:name w:val="xl69"/>
    <w:basedOn w:val="Normal"/>
    <w:rsid w:val="00BD4DB1"/>
    <w:pPr>
      <w:spacing w:before="100" w:beforeAutospacing="1" w:after="100" w:afterAutospacing="1"/>
      <w:jc w:val="center"/>
      <w:textAlignment w:val="center"/>
    </w:pPr>
  </w:style>
  <w:style w:type="paragraph" w:customStyle="1" w:styleId="xl70">
    <w:name w:val="xl70"/>
    <w:basedOn w:val="Normal"/>
    <w:rsid w:val="00BD4DB1"/>
    <w:pPr>
      <w:shd w:val="clear" w:color="000000" w:fill="FFFF00"/>
      <w:spacing w:before="100" w:beforeAutospacing="1" w:after="100" w:afterAutospacing="1"/>
      <w:jc w:val="center"/>
      <w:textAlignment w:val="center"/>
    </w:pPr>
  </w:style>
  <w:style w:type="paragraph" w:customStyle="1" w:styleId="xl71">
    <w:name w:val="xl71"/>
    <w:basedOn w:val="Normal"/>
    <w:rsid w:val="00BD4DB1"/>
    <w:pPr>
      <w:shd w:val="clear" w:color="000000" w:fill="FFFF00"/>
      <w:spacing w:before="100" w:beforeAutospacing="1" w:after="100" w:afterAutospacing="1"/>
      <w:jc w:val="center"/>
      <w:textAlignment w:val="center"/>
    </w:pPr>
  </w:style>
  <w:style w:type="paragraph" w:customStyle="1" w:styleId="xl72">
    <w:name w:val="xl72"/>
    <w:basedOn w:val="Normal"/>
    <w:rsid w:val="00BD4DB1"/>
    <w:pPr>
      <w:shd w:val="clear" w:color="000000" w:fill="FFFF00"/>
      <w:spacing w:before="100" w:beforeAutospacing="1" w:after="100" w:afterAutospacing="1"/>
      <w:jc w:val="center"/>
      <w:textAlignment w:val="center"/>
    </w:pPr>
  </w:style>
  <w:style w:type="paragraph" w:customStyle="1" w:styleId="xl73">
    <w:name w:val="xl73"/>
    <w:basedOn w:val="Normal"/>
    <w:rsid w:val="00BD4DB1"/>
    <w:pPr>
      <w:spacing w:before="100" w:beforeAutospacing="1" w:after="100" w:afterAutospacing="1"/>
      <w:textAlignment w:val="center"/>
    </w:pPr>
  </w:style>
  <w:style w:type="paragraph" w:customStyle="1" w:styleId="xl74">
    <w:name w:val="xl74"/>
    <w:basedOn w:val="Normal"/>
    <w:rsid w:val="00BD4DB1"/>
    <w:pPr>
      <w:pBdr>
        <w:top w:val="single" w:sz="4" w:space="0" w:color="D0D7E5"/>
        <w:left w:val="single" w:sz="4" w:space="0" w:color="D0D7E5"/>
        <w:bottom w:val="single" w:sz="4" w:space="0" w:color="D0D7E5"/>
        <w:right w:val="single" w:sz="4" w:space="0" w:color="D0D7E5"/>
      </w:pBdr>
      <w:spacing w:before="100" w:beforeAutospacing="1" w:after="100" w:afterAutospacing="1"/>
      <w:jc w:val="center"/>
      <w:textAlignment w:val="center"/>
    </w:pPr>
    <w:rPr>
      <w:color w:val="000000"/>
    </w:rPr>
  </w:style>
  <w:style w:type="paragraph" w:customStyle="1" w:styleId="xl75">
    <w:name w:val="xl75"/>
    <w:basedOn w:val="Normal"/>
    <w:rsid w:val="00BD4DB1"/>
    <w:pPr>
      <w:spacing w:before="100" w:beforeAutospacing="1" w:after="100" w:afterAutospacing="1"/>
      <w:jc w:val="center"/>
      <w:textAlignment w:val="center"/>
    </w:pPr>
  </w:style>
  <w:style w:type="paragraph" w:customStyle="1" w:styleId="xl58">
    <w:name w:val="xl58"/>
    <w:basedOn w:val="Normal"/>
    <w:rsid w:val="00BD4DB1"/>
    <w:pPr>
      <w:shd w:val="clear" w:color="000000" w:fill="C0C0C0"/>
      <w:spacing w:before="100" w:beforeAutospacing="1" w:after="100" w:afterAutospacing="1"/>
      <w:jc w:val="center"/>
    </w:pPr>
    <w:rPr>
      <w:b/>
      <w:bCs/>
      <w:sz w:val="24"/>
      <w:szCs w:val="24"/>
    </w:rPr>
  </w:style>
  <w:style w:type="paragraph" w:customStyle="1" w:styleId="xl59">
    <w:name w:val="xl59"/>
    <w:basedOn w:val="Normal"/>
    <w:rsid w:val="00BD4DB1"/>
    <w:pPr>
      <w:shd w:val="clear" w:color="B2B2B2" w:fill="B2B2B2"/>
      <w:spacing w:before="100" w:beforeAutospacing="1" w:after="100" w:afterAutospacing="1"/>
      <w:jc w:val="center"/>
    </w:pPr>
    <w:rPr>
      <w:rFonts w:ascii="Arial1" w:hAnsi="Arial1"/>
      <w:b/>
      <w:bCs/>
      <w:color w:val="000000"/>
      <w:sz w:val="22"/>
      <w:szCs w:val="22"/>
    </w:rPr>
  </w:style>
  <w:style w:type="paragraph" w:customStyle="1" w:styleId="xl60">
    <w:name w:val="xl60"/>
    <w:basedOn w:val="Normal"/>
    <w:rsid w:val="00BD4DB1"/>
    <w:pPr>
      <w:shd w:val="clear" w:color="000000" w:fill="FF0000"/>
      <w:spacing w:before="100" w:beforeAutospacing="1" w:after="100" w:afterAutospacing="1"/>
    </w:pPr>
    <w:rPr>
      <w:sz w:val="24"/>
      <w:szCs w:val="24"/>
    </w:rPr>
  </w:style>
  <w:style w:type="paragraph" w:customStyle="1" w:styleId="xl61">
    <w:name w:val="xl61"/>
    <w:basedOn w:val="Normal"/>
    <w:rsid w:val="00BD4DB1"/>
    <w:pPr>
      <w:spacing w:before="100" w:beforeAutospacing="1" w:after="100" w:afterAutospacing="1"/>
    </w:pPr>
    <w:rPr>
      <w:sz w:val="24"/>
      <w:szCs w:val="24"/>
    </w:rPr>
  </w:style>
  <w:style w:type="character" w:styleId="HTMLCite">
    <w:name w:val="HTML Cite"/>
    <w:basedOn w:val="DefaultParagraphFont"/>
    <w:uiPriority w:val="99"/>
    <w:unhideWhenUsed/>
    <w:rsid w:val="00BD4DB1"/>
    <w:rPr>
      <w:i w:val="0"/>
      <w:iCs w:val="0"/>
      <w:color w:val="006D21"/>
    </w:rPr>
  </w:style>
  <w:style w:type="table" w:styleId="TableGridLight">
    <w:name w:val="Grid Table Light"/>
    <w:basedOn w:val="TableNormal"/>
    <w:uiPriority w:val="40"/>
    <w:rsid w:val="00FE34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B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6949">
      <w:bodyDiv w:val="1"/>
      <w:marLeft w:val="0"/>
      <w:marRight w:val="0"/>
      <w:marTop w:val="0"/>
      <w:marBottom w:val="0"/>
      <w:divBdr>
        <w:top w:val="none" w:sz="0" w:space="0" w:color="auto"/>
        <w:left w:val="none" w:sz="0" w:space="0" w:color="auto"/>
        <w:bottom w:val="none" w:sz="0" w:space="0" w:color="auto"/>
        <w:right w:val="none" w:sz="0" w:space="0" w:color="auto"/>
      </w:divBdr>
    </w:div>
    <w:div w:id="224923011">
      <w:bodyDiv w:val="1"/>
      <w:marLeft w:val="0"/>
      <w:marRight w:val="0"/>
      <w:marTop w:val="0"/>
      <w:marBottom w:val="0"/>
      <w:divBdr>
        <w:top w:val="none" w:sz="0" w:space="0" w:color="auto"/>
        <w:left w:val="none" w:sz="0" w:space="0" w:color="auto"/>
        <w:bottom w:val="none" w:sz="0" w:space="0" w:color="auto"/>
        <w:right w:val="none" w:sz="0" w:space="0" w:color="auto"/>
      </w:divBdr>
    </w:div>
    <w:div w:id="256643762">
      <w:bodyDiv w:val="1"/>
      <w:marLeft w:val="0"/>
      <w:marRight w:val="0"/>
      <w:marTop w:val="0"/>
      <w:marBottom w:val="0"/>
      <w:divBdr>
        <w:top w:val="none" w:sz="0" w:space="0" w:color="auto"/>
        <w:left w:val="none" w:sz="0" w:space="0" w:color="auto"/>
        <w:bottom w:val="none" w:sz="0" w:space="0" w:color="auto"/>
        <w:right w:val="none" w:sz="0" w:space="0" w:color="auto"/>
      </w:divBdr>
    </w:div>
    <w:div w:id="296569825">
      <w:bodyDiv w:val="1"/>
      <w:marLeft w:val="0"/>
      <w:marRight w:val="0"/>
      <w:marTop w:val="0"/>
      <w:marBottom w:val="0"/>
      <w:divBdr>
        <w:top w:val="none" w:sz="0" w:space="0" w:color="auto"/>
        <w:left w:val="none" w:sz="0" w:space="0" w:color="auto"/>
        <w:bottom w:val="none" w:sz="0" w:space="0" w:color="auto"/>
        <w:right w:val="none" w:sz="0" w:space="0" w:color="auto"/>
      </w:divBdr>
    </w:div>
    <w:div w:id="302661730">
      <w:bodyDiv w:val="1"/>
      <w:marLeft w:val="0"/>
      <w:marRight w:val="0"/>
      <w:marTop w:val="0"/>
      <w:marBottom w:val="0"/>
      <w:divBdr>
        <w:top w:val="none" w:sz="0" w:space="0" w:color="auto"/>
        <w:left w:val="none" w:sz="0" w:space="0" w:color="auto"/>
        <w:bottom w:val="none" w:sz="0" w:space="0" w:color="auto"/>
        <w:right w:val="none" w:sz="0" w:space="0" w:color="auto"/>
      </w:divBdr>
    </w:div>
    <w:div w:id="357581001">
      <w:bodyDiv w:val="1"/>
      <w:marLeft w:val="0"/>
      <w:marRight w:val="0"/>
      <w:marTop w:val="0"/>
      <w:marBottom w:val="0"/>
      <w:divBdr>
        <w:top w:val="none" w:sz="0" w:space="0" w:color="auto"/>
        <w:left w:val="none" w:sz="0" w:space="0" w:color="auto"/>
        <w:bottom w:val="none" w:sz="0" w:space="0" w:color="auto"/>
        <w:right w:val="none" w:sz="0" w:space="0" w:color="auto"/>
      </w:divBdr>
    </w:div>
    <w:div w:id="800417885">
      <w:bodyDiv w:val="1"/>
      <w:marLeft w:val="0"/>
      <w:marRight w:val="0"/>
      <w:marTop w:val="0"/>
      <w:marBottom w:val="0"/>
      <w:divBdr>
        <w:top w:val="none" w:sz="0" w:space="0" w:color="auto"/>
        <w:left w:val="none" w:sz="0" w:space="0" w:color="auto"/>
        <w:bottom w:val="none" w:sz="0" w:space="0" w:color="auto"/>
        <w:right w:val="none" w:sz="0" w:space="0" w:color="auto"/>
      </w:divBdr>
    </w:div>
    <w:div w:id="906692042">
      <w:bodyDiv w:val="1"/>
      <w:marLeft w:val="0"/>
      <w:marRight w:val="0"/>
      <w:marTop w:val="0"/>
      <w:marBottom w:val="0"/>
      <w:divBdr>
        <w:top w:val="none" w:sz="0" w:space="0" w:color="auto"/>
        <w:left w:val="none" w:sz="0" w:space="0" w:color="auto"/>
        <w:bottom w:val="none" w:sz="0" w:space="0" w:color="auto"/>
        <w:right w:val="none" w:sz="0" w:space="0" w:color="auto"/>
      </w:divBdr>
    </w:div>
    <w:div w:id="1011104902">
      <w:bodyDiv w:val="1"/>
      <w:marLeft w:val="0"/>
      <w:marRight w:val="0"/>
      <w:marTop w:val="0"/>
      <w:marBottom w:val="0"/>
      <w:divBdr>
        <w:top w:val="none" w:sz="0" w:space="0" w:color="auto"/>
        <w:left w:val="none" w:sz="0" w:space="0" w:color="auto"/>
        <w:bottom w:val="none" w:sz="0" w:space="0" w:color="auto"/>
        <w:right w:val="none" w:sz="0" w:space="0" w:color="auto"/>
      </w:divBdr>
    </w:div>
    <w:div w:id="1535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info.nmt.edu/labs/microprobe/hom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sglobal.com/en-us/?gclid=EAIaIQobChMI9rrc5an05gIVFq5kCh3n1AEBEAAYASAAEgLbY_D_Bw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labs.com/geochemistry/lithogeochemistry-and-whole-rock-analys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dn.actlabs.com/wp-content/uploads/2019/10/Actlabs-Schedule-of-Services-Canada-2019-07-22.pd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1BC3-DDD6-4E33-A075-65F7A5DB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APPENDIX 8</vt:lpstr>
    </vt:vector>
  </TitlesOfParts>
  <Company>New Mexico Tech</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ginger</dc:creator>
  <cp:keywords/>
  <dc:description/>
  <cp:lastModifiedBy>ginger</cp:lastModifiedBy>
  <cp:revision>3</cp:revision>
  <dcterms:created xsi:type="dcterms:W3CDTF">2021-11-07T22:59:00Z</dcterms:created>
  <dcterms:modified xsi:type="dcterms:W3CDTF">2021-11-09T03:18:00Z</dcterms:modified>
</cp:coreProperties>
</file>